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3E5CA" w14:textId="13E6C32A" w:rsidR="002659E4" w:rsidRPr="002C1ADE" w:rsidRDefault="002C1ADE" w:rsidP="002659E4">
      <w:pPr>
        <w:pStyle w:val="Title"/>
        <w:rPr>
          <w:color w:val="auto"/>
        </w:rPr>
      </w:pPr>
      <w:r w:rsidRPr="002C1ADE">
        <w:rPr>
          <w:color w:val="auto"/>
        </w:rPr>
        <w:t>Find Case Law</w:t>
      </w:r>
    </w:p>
    <w:p w14:paraId="6C4330AD" w14:textId="6465CA18" w:rsidR="002659E4" w:rsidRPr="002C1ADE" w:rsidRDefault="002C1ADE" w:rsidP="002659E4">
      <w:pPr>
        <w:pStyle w:val="Subtitle"/>
        <w:rPr>
          <w:b w:val="0"/>
          <w:bCs/>
          <w:color w:val="auto"/>
        </w:rPr>
      </w:pPr>
      <w:r w:rsidRPr="002C1ADE">
        <w:rPr>
          <w:b w:val="0"/>
          <w:bCs/>
          <w:color w:val="auto"/>
        </w:rPr>
        <w:t>Guidance on application decisions for the transactional licence</w:t>
      </w:r>
    </w:p>
    <w:p w14:paraId="3E0EBD4A" w14:textId="2E46992D" w:rsidR="002C1ADE" w:rsidRPr="002C1ADE" w:rsidRDefault="002C1ADE" w:rsidP="002659E4">
      <w:pPr>
        <w:pStyle w:val="BodyText"/>
      </w:pPr>
    </w:p>
    <w:p w14:paraId="5B35B127" w14:textId="75EC5C9A" w:rsidR="002C1ADE" w:rsidRPr="002C1ADE" w:rsidRDefault="00C74584" w:rsidP="002C1ADE">
      <w:pPr>
        <w:pStyle w:val="Heading2"/>
      </w:pPr>
      <w:r>
        <w:t>Purpose</w:t>
      </w:r>
    </w:p>
    <w:p w14:paraId="6E26D5F4" w14:textId="756941C4" w:rsidR="00E974C4" w:rsidRDefault="00E974C4" w:rsidP="00E974C4">
      <w:pPr>
        <w:pStyle w:val="FooterConfidentiality"/>
        <w:widowControl w:val="0"/>
        <w:numPr>
          <w:ilvl w:val="0"/>
          <w:numId w:val="10"/>
        </w:numPr>
        <w:spacing w:after="160"/>
        <w:jc w:val="left"/>
        <w:rPr>
          <w:rFonts w:cs="Arial"/>
          <w:b w:val="0"/>
          <w:bCs/>
          <w:sz w:val="24"/>
          <w:szCs w:val="24"/>
        </w:rPr>
      </w:pPr>
      <w:r w:rsidRPr="00C74584">
        <w:rPr>
          <w:rFonts w:cs="Arial"/>
          <w:b w:val="0"/>
          <w:bCs/>
          <w:sz w:val="24"/>
          <w:szCs w:val="24"/>
        </w:rPr>
        <w:t xml:space="preserve">This guidance concerns analysis of </w:t>
      </w:r>
      <w:r w:rsidR="003213BD">
        <w:rPr>
          <w:rFonts w:cs="Arial"/>
          <w:b w:val="0"/>
          <w:bCs/>
          <w:sz w:val="24"/>
          <w:szCs w:val="24"/>
        </w:rPr>
        <w:t xml:space="preserve">digitised </w:t>
      </w:r>
      <w:r w:rsidRPr="00C74584">
        <w:rPr>
          <w:rFonts w:cs="Arial"/>
          <w:b w:val="0"/>
          <w:bCs/>
          <w:sz w:val="24"/>
          <w:szCs w:val="24"/>
        </w:rPr>
        <w:t>court judgments and tribunal decisions available through the “Find Case Law” service operated, funded and being developed by The National Archives with the support of MoJ, HMCTS and Judicial Office.</w:t>
      </w:r>
      <w:r w:rsidR="00C74584">
        <w:rPr>
          <w:rFonts w:cs="Arial"/>
          <w:b w:val="0"/>
          <w:bCs/>
          <w:sz w:val="24"/>
          <w:szCs w:val="24"/>
        </w:rPr>
        <w:t xml:space="preserve"> </w:t>
      </w:r>
    </w:p>
    <w:p w14:paraId="42988421" w14:textId="2288F7FA" w:rsidR="00C74584" w:rsidRPr="00C74584" w:rsidRDefault="00C74584" w:rsidP="00C74584">
      <w:pPr>
        <w:pStyle w:val="ListParagraph"/>
        <w:widowControl w:val="0"/>
        <w:numPr>
          <w:ilvl w:val="0"/>
          <w:numId w:val="10"/>
        </w:numPr>
        <w:rPr>
          <w:rFonts w:cs="Arial"/>
          <w:bCs/>
          <w:sz w:val="24"/>
          <w:szCs w:val="24"/>
        </w:rPr>
      </w:pPr>
      <w:r w:rsidRPr="00C74584">
        <w:rPr>
          <w:rFonts w:ascii="Arial" w:eastAsia="Times" w:hAnsi="Arial" w:cs="Arial"/>
          <w:bCs/>
          <w:sz w:val="24"/>
          <w:szCs w:val="24"/>
        </w:rPr>
        <w:t xml:space="preserve">The responsibility for making application decisions rests with the Keeper of the Public Record at The National Archives. </w:t>
      </w:r>
      <w:r>
        <w:rPr>
          <w:rFonts w:ascii="Arial" w:eastAsia="Times" w:hAnsi="Arial" w:cs="Arial"/>
          <w:bCs/>
          <w:sz w:val="24"/>
          <w:szCs w:val="24"/>
        </w:rPr>
        <w:t xml:space="preserve">Therefore, </w:t>
      </w:r>
      <w:r w:rsidR="007A232C">
        <w:rPr>
          <w:rFonts w:ascii="Arial" w:eastAsia="Times" w:hAnsi="Arial" w:cs="Arial"/>
          <w:bCs/>
          <w:sz w:val="24"/>
          <w:szCs w:val="24"/>
        </w:rPr>
        <w:t>th</w:t>
      </w:r>
      <w:r w:rsidR="004E644A">
        <w:rPr>
          <w:rFonts w:ascii="Arial" w:eastAsia="Times" w:hAnsi="Arial" w:cs="Arial"/>
          <w:bCs/>
          <w:sz w:val="24"/>
          <w:szCs w:val="24"/>
        </w:rPr>
        <w:t>is guidance is for the advice of</w:t>
      </w:r>
      <w:r>
        <w:rPr>
          <w:rFonts w:ascii="Arial" w:eastAsia="Times" w:hAnsi="Arial" w:cs="Arial"/>
          <w:bCs/>
          <w:sz w:val="24"/>
          <w:szCs w:val="24"/>
        </w:rPr>
        <w:t xml:space="preserve"> the Keeper for use when considering novel and contentious proposals, although decisions will be made ultimately at their discretion.</w:t>
      </w:r>
    </w:p>
    <w:p w14:paraId="1EE61FBD" w14:textId="3BF39DEF" w:rsidR="00C74584" w:rsidRPr="00C74584" w:rsidRDefault="00C74584" w:rsidP="00C74584">
      <w:pPr>
        <w:pStyle w:val="Heading2"/>
      </w:pPr>
      <w:r>
        <w:t>Context</w:t>
      </w:r>
    </w:p>
    <w:p w14:paraId="08466D5A" w14:textId="4DDE292E" w:rsidR="00C74584" w:rsidRPr="00C74584" w:rsidRDefault="00C74584" w:rsidP="00C74584">
      <w:pPr>
        <w:pStyle w:val="FooterConfidentiality"/>
        <w:widowControl w:val="0"/>
        <w:numPr>
          <w:ilvl w:val="0"/>
          <w:numId w:val="10"/>
        </w:numPr>
        <w:spacing w:after="160"/>
        <w:jc w:val="left"/>
        <w:rPr>
          <w:rFonts w:cs="Arial"/>
          <w:b w:val="0"/>
          <w:bCs/>
          <w:sz w:val="24"/>
          <w:szCs w:val="24"/>
        </w:rPr>
      </w:pPr>
      <w:r w:rsidRPr="00C74584">
        <w:rPr>
          <w:rFonts w:cs="Arial"/>
          <w:b w:val="0"/>
          <w:bCs/>
          <w:sz w:val="24"/>
          <w:szCs w:val="24"/>
        </w:rPr>
        <w:t>Access to judgments for research and analysis using computational methods has been</w:t>
      </w:r>
      <w:r>
        <w:rPr>
          <w:rFonts w:cs="Arial"/>
          <w:b w:val="0"/>
          <w:bCs/>
          <w:sz w:val="24"/>
          <w:szCs w:val="24"/>
        </w:rPr>
        <w:t xml:space="preserve"> </w:t>
      </w:r>
      <w:r w:rsidR="00994ABA" w:rsidRPr="00994ABA">
        <w:rPr>
          <w:rFonts w:cs="Arial"/>
          <w:b w:val="0"/>
          <w:bCs/>
          <w:sz w:val="24"/>
          <w:szCs w:val="24"/>
        </w:rPr>
        <w:t xml:space="preserve"> key longstanding request from the UK’s thriving legal services and lawtech sectors. Legal services contributed £30.7bn to the UK economy in 2021 and employ around 375,000 people. The growing lawtech sector is transforming how legal services are delivered and was estimated to have contributed between £400m and £600m to the UK economy and employed 7000 people in 2020. A steadily growing repository of machine-readable judgments coupled with clear parameters for their ‘re-use’ will provide the basis for confident innovation in this area with the effect of helping to cement the place of UK lawtech in the global industry and increasing access to justice</w:t>
      </w:r>
      <w:r w:rsidRPr="00C74584">
        <w:rPr>
          <w:rFonts w:cs="Arial"/>
          <w:b w:val="0"/>
          <w:bCs/>
          <w:sz w:val="24"/>
          <w:szCs w:val="24"/>
        </w:rPr>
        <w:t>.  A steadily growing repository of machine-readable judgments coupled with clear parameters for their ‘re-use’ will provide the basis for confident innovation in this area with the effect of helping to cement the place of UK lawtech in the global industry and increasing access to justice.</w:t>
      </w:r>
    </w:p>
    <w:p w14:paraId="2D33738D" w14:textId="77777777" w:rsidR="002E470D" w:rsidRDefault="00C74584" w:rsidP="00AD7CBB">
      <w:pPr>
        <w:pStyle w:val="FooterConfidentiality"/>
        <w:widowControl w:val="0"/>
        <w:numPr>
          <w:ilvl w:val="0"/>
          <w:numId w:val="10"/>
        </w:numPr>
        <w:spacing w:after="160"/>
        <w:jc w:val="left"/>
        <w:rPr>
          <w:rFonts w:cs="Arial"/>
          <w:b w:val="0"/>
          <w:bCs/>
          <w:sz w:val="24"/>
          <w:szCs w:val="24"/>
        </w:rPr>
      </w:pPr>
      <w:r w:rsidRPr="002E470D">
        <w:rPr>
          <w:rFonts w:cs="Arial"/>
          <w:b w:val="0"/>
          <w:bCs/>
          <w:sz w:val="24"/>
          <w:szCs w:val="24"/>
        </w:rPr>
        <w:t>Moreover, academics and researchers are eager to analyse machine-readable judgments to scrutinise</w:t>
      </w:r>
      <w:r w:rsidR="00230609" w:rsidRPr="002E470D">
        <w:rPr>
          <w:rFonts w:cs="Arial"/>
          <w:b w:val="0"/>
          <w:bCs/>
          <w:sz w:val="24"/>
          <w:szCs w:val="24"/>
        </w:rPr>
        <w:t xml:space="preserve"> more effectively</w:t>
      </w:r>
      <w:r w:rsidRPr="002E470D">
        <w:rPr>
          <w:rFonts w:cs="Arial"/>
          <w:b w:val="0"/>
          <w:bCs/>
          <w:sz w:val="24"/>
          <w:szCs w:val="24"/>
        </w:rPr>
        <w:t xml:space="preserve"> justice outcomes in the performance of a fundamental task of our democracy: ensuring accountability and transparency in the justice system. </w:t>
      </w:r>
      <w:r w:rsidR="002E470D" w:rsidRPr="002E470D">
        <w:rPr>
          <w:rFonts w:cs="Arial"/>
          <w:b w:val="0"/>
          <w:bCs/>
          <w:sz w:val="24"/>
          <w:szCs w:val="24"/>
        </w:rPr>
        <w:t xml:space="preserve">There are realisable benefits to a range of additional users, for example: the advice sector, which would benefit from tools that make case law more </w:t>
      </w:r>
      <w:r w:rsidR="002E470D" w:rsidRPr="002E470D">
        <w:rPr>
          <w:rFonts w:cs="Arial"/>
          <w:b w:val="0"/>
          <w:bCs/>
          <w:sz w:val="24"/>
          <w:szCs w:val="24"/>
        </w:rPr>
        <w:lastRenderedPageBreak/>
        <w:t>navigable to non-experts.</w:t>
      </w:r>
    </w:p>
    <w:p w14:paraId="0E9FBABB" w14:textId="3E67BFBC" w:rsidR="00C74584" w:rsidRPr="002E470D" w:rsidRDefault="00C74584" w:rsidP="00AD7CBB">
      <w:pPr>
        <w:pStyle w:val="FooterConfidentiality"/>
        <w:widowControl w:val="0"/>
        <w:numPr>
          <w:ilvl w:val="0"/>
          <w:numId w:val="10"/>
        </w:numPr>
        <w:spacing w:after="160"/>
        <w:jc w:val="left"/>
        <w:rPr>
          <w:rFonts w:cs="Arial"/>
          <w:b w:val="0"/>
          <w:bCs/>
          <w:sz w:val="24"/>
          <w:szCs w:val="24"/>
        </w:rPr>
      </w:pPr>
      <w:r w:rsidRPr="002E470D">
        <w:rPr>
          <w:rFonts w:cs="Arial"/>
          <w:b w:val="0"/>
          <w:bCs/>
          <w:sz w:val="24"/>
          <w:szCs w:val="24"/>
        </w:rPr>
        <w:t>To serve these important opportunities, The National Archives in collaboration with MoJ, HMCTS and Judicial Office created a licensing regime for the re-use of</w:t>
      </w:r>
      <w:r w:rsidR="003213BD" w:rsidRPr="002E470D">
        <w:rPr>
          <w:rFonts w:cs="Arial"/>
          <w:b w:val="0"/>
          <w:bCs/>
          <w:sz w:val="24"/>
          <w:szCs w:val="24"/>
        </w:rPr>
        <w:t xml:space="preserve"> digitised</w:t>
      </w:r>
      <w:r w:rsidRPr="002E470D">
        <w:rPr>
          <w:rFonts w:cs="Arial"/>
          <w:b w:val="0"/>
          <w:bCs/>
          <w:sz w:val="24"/>
          <w:szCs w:val="24"/>
        </w:rPr>
        <w:t xml:space="preserve"> judgments when we launched the “Find Case Law” service in April </w:t>
      </w:r>
      <w:r w:rsidR="00623508" w:rsidRPr="002E470D">
        <w:rPr>
          <w:rFonts w:cs="Arial"/>
          <w:b w:val="0"/>
          <w:bCs/>
          <w:sz w:val="24"/>
          <w:szCs w:val="24"/>
        </w:rPr>
        <w:t>2022</w:t>
      </w:r>
      <w:r w:rsidRPr="002E470D">
        <w:rPr>
          <w:rFonts w:cs="Arial"/>
          <w:b w:val="0"/>
          <w:bCs/>
          <w:sz w:val="24"/>
          <w:szCs w:val="24"/>
        </w:rPr>
        <w:t xml:space="preserve">. The service provides free public access to </w:t>
      </w:r>
      <w:r w:rsidR="003213BD" w:rsidRPr="002E470D">
        <w:rPr>
          <w:rFonts w:cs="Arial"/>
          <w:b w:val="0"/>
          <w:bCs/>
          <w:sz w:val="24"/>
          <w:szCs w:val="24"/>
        </w:rPr>
        <w:t xml:space="preserve">digitised </w:t>
      </w:r>
      <w:r w:rsidRPr="002E470D">
        <w:rPr>
          <w:rFonts w:cs="Arial"/>
          <w:b w:val="0"/>
          <w:bCs/>
          <w:sz w:val="24"/>
          <w:szCs w:val="24"/>
        </w:rPr>
        <w:t xml:space="preserve">court judgments and tribunal decisions once they have been handed down and released for publication by the court. </w:t>
      </w:r>
    </w:p>
    <w:p w14:paraId="6B8C6C57" w14:textId="3F6303D9" w:rsidR="00C547BA" w:rsidRDefault="00C547BA" w:rsidP="00C547BA">
      <w:pPr>
        <w:pStyle w:val="FooterConfidentiality"/>
        <w:widowControl w:val="0"/>
        <w:numPr>
          <w:ilvl w:val="0"/>
          <w:numId w:val="10"/>
        </w:numPr>
        <w:spacing w:after="160"/>
        <w:jc w:val="left"/>
        <w:rPr>
          <w:rFonts w:cs="Arial"/>
          <w:b w:val="0"/>
          <w:bCs/>
          <w:sz w:val="24"/>
          <w:szCs w:val="24"/>
        </w:rPr>
      </w:pPr>
      <w:r w:rsidRPr="00C74584">
        <w:rPr>
          <w:rFonts w:cs="Arial"/>
          <w:b w:val="0"/>
          <w:bCs/>
          <w:sz w:val="24"/>
          <w:szCs w:val="24"/>
        </w:rPr>
        <w:t>Access for research and analysis is managed through the ‘transactional licence’ for which users must apply through an application portal. The National Archives has asked MoJ to provide policy guidance to support decision-making on applications for the licence.</w:t>
      </w:r>
    </w:p>
    <w:p w14:paraId="47CD8D82" w14:textId="25E30169" w:rsidR="00C74584" w:rsidRDefault="008D1B49" w:rsidP="00C74584">
      <w:pPr>
        <w:pStyle w:val="FooterConfidentiality"/>
        <w:widowControl w:val="0"/>
        <w:numPr>
          <w:ilvl w:val="0"/>
          <w:numId w:val="10"/>
        </w:numPr>
        <w:spacing w:after="160"/>
        <w:jc w:val="left"/>
        <w:rPr>
          <w:rFonts w:cs="Arial"/>
          <w:b w:val="0"/>
          <w:bCs/>
          <w:sz w:val="24"/>
          <w:szCs w:val="24"/>
        </w:rPr>
      </w:pPr>
      <w:r>
        <w:rPr>
          <w:rFonts w:cs="Arial"/>
          <w:b w:val="0"/>
          <w:bCs/>
          <w:sz w:val="24"/>
          <w:szCs w:val="24"/>
        </w:rPr>
        <w:t>We (</w:t>
      </w:r>
      <w:r w:rsidR="0003174F" w:rsidRPr="0003174F">
        <w:rPr>
          <w:rFonts w:cs="Arial"/>
          <w:b w:val="0"/>
          <w:bCs/>
          <w:i/>
          <w:iCs/>
          <w:sz w:val="24"/>
          <w:szCs w:val="24"/>
        </w:rPr>
        <w:t>the</w:t>
      </w:r>
      <w:r w:rsidR="0003174F">
        <w:rPr>
          <w:rFonts w:cs="Arial"/>
          <w:b w:val="0"/>
          <w:bCs/>
          <w:sz w:val="24"/>
          <w:szCs w:val="24"/>
        </w:rPr>
        <w:t xml:space="preserve"> </w:t>
      </w:r>
      <w:r w:rsidRPr="008D1B49">
        <w:rPr>
          <w:rFonts w:cs="Arial"/>
          <w:b w:val="0"/>
          <w:bCs/>
          <w:i/>
          <w:iCs/>
          <w:sz w:val="24"/>
          <w:szCs w:val="24"/>
        </w:rPr>
        <w:t>Ministry of Justice</w:t>
      </w:r>
      <w:r>
        <w:rPr>
          <w:rFonts w:cs="Arial"/>
          <w:b w:val="0"/>
          <w:bCs/>
          <w:sz w:val="24"/>
          <w:szCs w:val="24"/>
        </w:rPr>
        <w:t xml:space="preserve">) have devised a number of </w:t>
      </w:r>
      <w:r w:rsidR="0003174F">
        <w:rPr>
          <w:rFonts w:cs="Arial"/>
          <w:b w:val="0"/>
          <w:bCs/>
          <w:sz w:val="24"/>
          <w:szCs w:val="24"/>
        </w:rPr>
        <w:t xml:space="preserve">advisory </w:t>
      </w:r>
      <w:r>
        <w:rPr>
          <w:rFonts w:cs="Arial"/>
          <w:b w:val="0"/>
          <w:bCs/>
          <w:sz w:val="24"/>
          <w:szCs w:val="24"/>
        </w:rPr>
        <w:t xml:space="preserve">principles </w:t>
      </w:r>
      <w:r w:rsidR="0003174F">
        <w:rPr>
          <w:rFonts w:cs="Arial"/>
          <w:b w:val="0"/>
          <w:bCs/>
          <w:sz w:val="24"/>
          <w:szCs w:val="24"/>
        </w:rPr>
        <w:t>for</w:t>
      </w:r>
      <w:r>
        <w:rPr>
          <w:rFonts w:cs="Arial"/>
          <w:b w:val="0"/>
          <w:bCs/>
          <w:sz w:val="24"/>
          <w:szCs w:val="24"/>
        </w:rPr>
        <w:t xml:space="preserve"> The National Archives</w:t>
      </w:r>
      <w:r w:rsidR="0003174F">
        <w:rPr>
          <w:rFonts w:cs="Arial"/>
          <w:b w:val="0"/>
          <w:bCs/>
          <w:sz w:val="24"/>
          <w:szCs w:val="24"/>
        </w:rPr>
        <w:t xml:space="preserve"> to </w:t>
      </w:r>
      <w:r w:rsidR="002E470D">
        <w:rPr>
          <w:rFonts w:cs="Arial"/>
          <w:b w:val="0"/>
          <w:bCs/>
          <w:sz w:val="24"/>
          <w:szCs w:val="24"/>
        </w:rPr>
        <w:t>consider</w:t>
      </w:r>
      <w:r w:rsidR="0003174F">
        <w:rPr>
          <w:rFonts w:cs="Arial"/>
          <w:b w:val="0"/>
          <w:bCs/>
          <w:sz w:val="24"/>
          <w:szCs w:val="24"/>
        </w:rPr>
        <w:t xml:space="preserve"> when </w:t>
      </w:r>
      <w:r w:rsidR="002E470D">
        <w:rPr>
          <w:rFonts w:cs="Arial"/>
          <w:b w:val="0"/>
          <w:bCs/>
          <w:sz w:val="24"/>
          <w:szCs w:val="24"/>
        </w:rPr>
        <w:t>making application decisions</w:t>
      </w:r>
      <w:r w:rsidR="0003174F">
        <w:rPr>
          <w:rFonts w:cs="Arial"/>
          <w:b w:val="0"/>
          <w:bCs/>
          <w:sz w:val="24"/>
          <w:szCs w:val="24"/>
        </w:rPr>
        <w:t xml:space="preserve"> for the licence. </w:t>
      </w:r>
      <w:r w:rsidR="00DB0D72">
        <w:rPr>
          <w:rFonts w:cs="Arial"/>
          <w:b w:val="0"/>
          <w:bCs/>
          <w:sz w:val="24"/>
          <w:szCs w:val="24"/>
        </w:rPr>
        <w:t xml:space="preserve">They have been </w:t>
      </w:r>
      <w:r w:rsidR="008134C9">
        <w:rPr>
          <w:rFonts w:cs="Arial"/>
          <w:b w:val="0"/>
          <w:bCs/>
          <w:sz w:val="24"/>
          <w:szCs w:val="24"/>
        </w:rPr>
        <w:t xml:space="preserve">developed in consciousness of a number of </w:t>
      </w:r>
      <w:r w:rsidR="00B07CB3">
        <w:rPr>
          <w:rFonts w:cs="Arial"/>
          <w:b w:val="0"/>
          <w:bCs/>
          <w:sz w:val="24"/>
          <w:szCs w:val="24"/>
        </w:rPr>
        <w:t xml:space="preserve">contextual </w:t>
      </w:r>
      <w:r w:rsidR="008134C9">
        <w:rPr>
          <w:rFonts w:cs="Arial"/>
          <w:b w:val="0"/>
          <w:bCs/>
          <w:sz w:val="24"/>
          <w:szCs w:val="24"/>
        </w:rPr>
        <w:t>facts, including:</w:t>
      </w:r>
    </w:p>
    <w:p w14:paraId="6874CC4E" w14:textId="68FE700D" w:rsidR="00BD58B7" w:rsidRPr="00BD58B7" w:rsidRDefault="0003202C" w:rsidP="00BD58B7">
      <w:pPr>
        <w:pStyle w:val="EmphasisHeading"/>
        <w:numPr>
          <w:ilvl w:val="1"/>
          <w:numId w:val="21"/>
        </w:numPr>
        <w:rPr>
          <w:b w:val="0"/>
          <w:bCs/>
          <w:color w:val="auto"/>
        </w:rPr>
      </w:pPr>
      <w:r w:rsidRPr="002C1ADE">
        <w:rPr>
          <w:b w:val="0"/>
          <w:bCs/>
          <w:color w:val="auto"/>
        </w:rPr>
        <w:t>The</w:t>
      </w:r>
      <w:r>
        <w:rPr>
          <w:b w:val="0"/>
          <w:bCs/>
          <w:color w:val="auto"/>
        </w:rPr>
        <w:t xml:space="preserve"> </w:t>
      </w:r>
      <w:r w:rsidRPr="0003202C">
        <w:rPr>
          <w:b w:val="0"/>
          <w:bCs/>
          <w:color w:val="auto"/>
        </w:rPr>
        <w:t xml:space="preserve">“Find Case Law” dataset is not representative of a complete record of judgments nor a specific </w:t>
      </w:r>
      <w:r w:rsidR="00242058">
        <w:rPr>
          <w:b w:val="0"/>
          <w:bCs/>
          <w:color w:val="auto"/>
        </w:rPr>
        <w:t>definition</w:t>
      </w:r>
      <w:r w:rsidRPr="0003202C">
        <w:rPr>
          <w:b w:val="0"/>
          <w:bCs/>
          <w:color w:val="auto"/>
        </w:rPr>
        <w:t xml:space="preserve"> of case law and is therefore ‘incomplete’</w:t>
      </w:r>
      <w:r w:rsidR="00771C11">
        <w:rPr>
          <w:b w:val="0"/>
          <w:bCs/>
          <w:color w:val="auto"/>
        </w:rPr>
        <w:t>.</w:t>
      </w:r>
    </w:p>
    <w:p w14:paraId="209BDBE8" w14:textId="2F4BB141" w:rsidR="00AC2AF8" w:rsidRDefault="00AC2AF8" w:rsidP="00AC2AF8">
      <w:pPr>
        <w:pStyle w:val="EmphasisHeading"/>
        <w:numPr>
          <w:ilvl w:val="1"/>
          <w:numId w:val="21"/>
        </w:numPr>
        <w:rPr>
          <w:b w:val="0"/>
          <w:bCs/>
          <w:color w:val="auto"/>
        </w:rPr>
      </w:pPr>
      <w:r>
        <w:rPr>
          <w:b w:val="0"/>
          <w:bCs/>
          <w:color w:val="auto"/>
        </w:rPr>
        <w:t>Currently, there is a lack of wider</w:t>
      </w:r>
      <w:r w:rsidR="00BD58B7" w:rsidRPr="00AC2AF8">
        <w:rPr>
          <w:b w:val="0"/>
          <w:bCs/>
          <w:color w:val="auto"/>
        </w:rPr>
        <w:t xml:space="preserve"> robust regulatory context</w:t>
      </w:r>
      <w:r>
        <w:rPr>
          <w:b w:val="0"/>
          <w:bCs/>
          <w:color w:val="auto"/>
        </w:rPr>
        <w:t xml:space="preserve"> for the application of computational techniques, including artificial intelligence</w:t>
      </w:r>
      <w:r w:rsidR="00D939B9">
        <w:rPr>
          <w:b w:val="0"/>
          <w:bCs/>
          <w:color w:val="auto"/>
        </w:rPr>
        <w:t xml:space="preserve"> and machine learning</w:t>
      </w:r>
      <w:r w:rsidR="0094125B">
        <w:rPr>
          <w:b w:val="0"/>
          <w:bCs/>
          <w:color w:val="auto"/>
        </w:rPr>
        <w:t xml:space="preserve"> (AIML)</w:t>
      </w:r>
      <w:r>
        <w:rPr>
          <w:b w:val="0"/>
          <w:bCs/>
          <w:color w:val="auto"/>
        </w:rPr>
        <w:t>, in the justice space</w:t>
      </w:r>
      <w:r w:rsidR="00BD58B7" w:rsidRPr="00AC2AF8">
        <w:rPr>
          <w:b w:val="0"/>
          <w:bCs/>
          <w:color w:val="auto"/>
        </w:rPr>
        <w:t xml:space="preserve">. The DSIT AI White Paper published in March 2023 </w:t>
      </w:r>
      <w:r w:rsidR="00E11DDB" w:rsidRPr="00AC2AF8">
        <w:rPr>
          <w:b w:val="0"/>
          <w:bCs/>
          <w:color w:val="auto"/>
        </w:rPr>
        <w:t xml:space="preserve">delegates </w:t>
      </w:r>
      <w:r w:rsidRPr="00AC2AF8">
        <w:rPr>
          <w:b w:val="0"/>
          <w:bCs/>
          <w:color w:val="auto"/>
        </w:rPr>
        <w:t xml:space="preserve">to industry regulators the responsibility to set parameters of novel and contentious techniques. </w:t>
      </w:r>
      <w:r w:rsidRPr="009D339D">
        <w:rPr>
          <w:color w:val="auto"/>
        </w:rPr>
        <w:t>The guidance is therefore intended as a managed and cautious first step in an area of ongoing policy development.</w:t>
      </w:r>
    </w:p>
    <w:p w14:paraId="753957F5" w14:textId="7E889A5F" w:rsidR="002E27D0" w:rsidRDefault="00B07CB3" w:rsidP="00B07CB3">
      <w:pPr>
        <w:pStyle w:val="EmphasisText"/>
        <w:numPr>
          <w:ilvl w:val="1"/>
          <w:numId w:val="21"/>
        </w:numPr>
        <w:rPr>
          <w:color w:val="auto"/>
        </w:rPr>
      </w:pPr>
      <w:r w:rsidRPr="00B07CB3">
        <w:rPr>
          <w:color w:val="auto"/>
        </w:rPr>
        <w:t>There is a distinction</w:t>
      </w:r>
      <w:r>
        <w:rPr>
          <w:color w:val="auto"/>
        </w:rPr>
        <w:t xml:space="preserve"> in impact between information that is publicly available and </w:t>
      </w:r>
      <w:r w:rsidR="002E27D0">
        <w:rPr>
          <w:color w:val="auto"/>
        </w:rPr>
        <w:t>that</w:t>
      </w:r>
      <w:r>
        <w:rPr>
          <w:color w:val="auto"/>
        </w:rPr>
        <w:t xml:space="preserve"> which is made readily available. For example,</w:t>
      </w:r>
      <w:r w:rsidR="002E27D0">
        <w:rPr>
          <w:color w:val="auto"/>
        </w:rPr>
        <w:t xml:space="preserve"> where</w:t>
      </w:r>
      <w:r>
        <w:rPr>
          <w:color w:val="auto"/>
        </w:rPr>
        <w:t xml:space="preserve"> personal data contained in judgments, which are in the public domain, are rendered much more accessible and impactful than the original use intended when </w:t>
      </w:r>
      <w:r w:rsidR="00455280">
        <w:rPr>
          <w:color w:val="auto"/>
        </w:rPr>
        <w:t>included in search engine results (‘indexed’).</w:t>
      </w:r>
    </w:p>
    <w:p w14:paraId="04BDC7E1" w14:textId="0ABFA3DA" w:rsidR="008134C9" w:rsidRDefault="002E27D0" w:rsidP="009C2D22">
      <w:pPr>
        <w:pStyle w:val="EmphasisText"/>
        <w:numPr>
          <w:ilvl w:val="1"/>
          <w:numId w:val="21"/>
        </w:numPr>
        <w:rPr>
          <w:color w:val="auto"/>
        </w:rPr>
      </w:pPr>
      <w:r>
        <w:rPr>
          <w:color w:val="auto"/>
        </w:rPr>
        <w:t>Likewise, permitting judgments to be analysed in bulk</w:t>
      </w:r>
      <w:r w:rsidR="0094125B">
        <w:rPr>
          <w:color w:val="auto"/>
        </w:rPr>
        <w:t xml:space="preserve"> or by AIML processes raises</w:t>
      </w:r>
      <w:r w:rsidR="004F40BE">
        <w:rPr>
          <w:color w:val="auto"/>
        </w:rPr>
        <w:t xml:space="preserve"> distinct</w:t>
      </w:r>
      <w:r w:rsidR="00C87397">
        <w:rPr>
          <w:color w:val="auto"/>
        </w:rPr>
        <w:t xml:space="preserve"> issues</w:t>
      </w:r>
      <w:r w:rsidR="004F40BE">
        <w:rPr>
          <w:color w:val="auto"/>
        </w:rPr>
        <w:t xml:space="preserve"> </w:t>
      </w:r>
      <w:r w:rsidR="00507841">
        <w:rPr>
          <w:color w:val="auto"/>
        </w:rPr>
        <w:t>for insight and scrutiny.</w:t>
      </w:r>
    </w:p>
    <w:p w14:paraId="4EA3B74A" w14:textId="3935F345" w:rsidR="00610177" w:rsidRPr="00610177" w:rsidRDefault="00610177" w:rsidP="00610177">
      <w:pPr>
        <w:pStyle w:val="EmphasisHeading"/>
        <w:numPr>
          <w:ilvl w:val="1"/>
          <w:numId w:val="21"/>
        </w:numPr>
        <w:rPr>
          <w:b w:val="0"/>
          <w:bCs/>
          <w:color w:val="auto"/>
        </w:rPr>
      </w:pPr>
      <w:r>
        <w:rPr>
          <w:b w:val="0"/>
          <w:bCs/>
          <w:color w:val="auto"/>
        </w:rPr>
        <w:t>There is</w:t>
      </w:r>
      <w:r w:rsidR="00C87397">
        <w:rPr>
          <w:b w:val="0"/>
          <w:bCs/>
          <w:color w:val="auto"/>
        </w:rPr>
        <w:t xml:space="preserve"> currently</w:t>
      </w:r>
      <w:r>
        <w:rPr>
          <w:b w:val="0"/>
          <w:bCs/>
          <w:color w:val="auto"/>
        </w:rPr>
        <w:t xml:space="preserve"> an</w:t>
      </w:r>
      <w:r w:rsidRPr="002C1ADE">
        <w:rPr>
          <w:b w:val="0"/>
          <w:bCs/>
          <w:color w:val="auto"/>
        </w:rPr>
        <w:t xml:space="preserve"> absence of a mature </w:t>
      </w:r>
      <w:r w:rsidR="00FC11CC">
        <w:rPr>
          <w:b w:val="0"/>
          <w:bCs/>
          <w:color w:val="auto"/>
        </w:rPr>
        <w:t xml:space="preserve">algorithmic </w:t>
      </w:r>
      <w:r w:rsidRPr="002C1ADE">
        <w:rPr>
          <w:b w:val="0"/>
          <w:bCs/>
          <w:color w:val="auto"/>
        </w:rPr>
        <w:t>assurance ecosystem</w:t>
      </w:r>
      <w:r>
        <w:rPr>
          <w:b w:val="0"/>
          <w:bCs/>
          <w:color w:val="auto"/>
        </w:rPr>
        <w:t xml:space="preserve"> in the UK</w:t>
      </w:r>
      <w:r w:rsidRPr="002C1ADE">
        <w:rPr>
          <w:b w:val="0"/>
          <w:bCs/>
          <w:color w:val="auto"/>
        </w:rPr>
        <w:t xml:space="preserve"> which can adequately assess algorithm accuracy </w:t>
      </w:r>
      <w:r>
        <w:rPr>
          <w:b w:val="0"/>
          <w:bCs/>
          <w:color w:val="auto"/>
        </w:rPr>
        <w:t>or</w:t>
      </w:r>
      <w:r w:rsidRPr="002C1ADE">
        <w:rPr>
          <w:b w:val="0"/>
          <w:bCs/>
          <w:color w:val="auto"/>
        </w:rPr>
        <w:t xml:space="preserve"> bias</w:t>
      </w:r>
      <w:r>
        <w:rPr>
          <w:b w:val="0"/>
          <w:bCs/>
          <w:color w:val="auto"/>
        </w:rPr>
        <w:t>.</w:t>
      </w:r>
    </w:p>
    <w:p w14:paraId="656F2FF5" w14:textId="6B1A8F93" w:rsidR="002C1ADE" w:rsidRPr="00E24981" w:rsidRDefault="009C2D22" w:rsidP="002659E4">
      <w:pPr>
        <w:pStyle w:val="ListParagraph"/>
        <w:numPr>
          <w:ilvl w:val="0"/>
          <w:numId w:val="10"/>
        </w:numPr>
        <w:rPr>
          <w:rFonts w:ascii="Arial" w:hAnsi="Arial" w:cs="Arial"/>
          <w:sz w:val="24"/>
          <w:szCs w:val="24"/>
        </w:rPr>
      </w:pPr>
      <w:r w:rsidRPr="009C2D22">
        <w:rPr>
          <w:rFonts w:ascii="Arial" w:hAnsi="Arial" w:cs="Arial"/>
          <w:sz w:val="24"/>
          <w:szCs w:val="24"/>
        </w:rPr>
        <w:t xml:space="preserve">The following principles </w:t>
      </w:r>
      <w:r w:rsidR="00F96EBB">
        <w:rPr>
          <w:rFonts w:ascii="Arial" w:hAnsi="Arial" w:cs="Arial"/>
          <w:sz w:val="24"/>
          <w:szCs w:val="24"/>
        </w:rPr>
        <w:t>deal primarily with</w:t>
      </w:r>
      <w:r w:rsidRPr="009C2D22">
        <w:rPr>
          <w:rFonts w:ascii="Arial" w:hAnsi="Arial" w:cs="Arial"/>
          <w:sz w:val="24"/>
          <w:szCs w:val="24"/>
        </w:rPr>
        <w:t xml:space="preserve"> the purpose of </w:t>
      </w:r>
      <w:r w:rsidR="005E61A2">
        <w:rPr>
          <w:rFonts w:ascii="Arial" w:hAnsi="Arial" w:cs="Arial"/>
          <w:sz w:val="24"/>
          <w:szCs w:val="24"/>
        </w:rPr>
        <w:t>re-use</w:t>
      </w:r>
      <w:r w:rsidRPr="009C2D22">
        <w:rPr>
          <w:rFonts w:ascii="Arial" w:hAnsi="Arial" w:cs="Arial"/>
          <w:sz w:val="24"/>
          <w:szCs w:val="24"/>
        </w:rPr>
        <w:t xml:space="preserve">, as opposed to </w:t>
      </w:r>
      <w:r w:rsidR="00F96EBB">
        <w:rPr>
          <w:rFonts w:ascii="Arial" w:hAnsi="Arial" w:cs="Arial"/>
          <w:sz w:val="24"/>
          <w:szCs w:val="24"/>
        </w:rPr>
        <w:t xml:space="preserve">specific computational methods </w:t>
      </w:r>
      <w:r w:rsidR="005E61A2">
        <w:rPr>
          <w:rFonts w:ascii="Arial" w:hAnsi="Arial" w:cs="Arial"/>
          <w:sz w:val="24"/>
          <w:szCs w:val="24"/>
        </w:rPr>
        <w:t>proposed.</w:t>
      </w:r>
      <w:r w:rsidR="00E24981">
        <w:rPr>
          <w:rFonts w:ascii="Arial" w:hAnsi="Arial" w:cs="Arial"/>
          <w:sz w:val="24"/>
          <w:szCs w:val="24"/>
        </w:rPr>
        <w:br/>
      </w:r>
    </w:p>
    <w:p w14:paraId="3AC74F20" w14:textId="609F9873" w:rsidR="00185332" w:rsidRPr="00185332" w:rsidRDefault="002C1ADE" w:rsidP="00185332">
      <w:pPr>
        <w:pStyle w:val="Heading2"/>
      </w:pPr>
      <w:r w:rsidRPr="002C1ADE">
        <w:t>Principles</w:t>
      </w:r>
    </w:p>
    <w:p w14:paraId="41836480" w14:textId="37382AA1" w:rsidR="002C1ADE" w:rsidRPr="006B1C3F" w:rsidRDefault="002C1ADE" w:rsidP="009D1A2A">
      <w:pPr>
        <w:pStyle w:val="ListParagraph"/>
        <w:numPr>
          <w:ilvl w:val="0"/>
          <w:numId w:val="22"/>
        </w:numPr>
        <w:rPr>
          <w:rFonts w:ascii="Arial" w:eastAsiaTheme="minorEastAsia" w:hAnsi="Arial" w:cs="Arial"/>
          <w:b/>
          <w:bCs/>
          <w:sz w:val="24"/>
          <w:szCs w:val="24"/>
        </w:rPr>
      </w:pPr>
      <w:r w:rsidRPr="006B1C3F">
        <w:rPr>
          <w:rFonts w:ascii="Arial" w:eastAsiaTheme="minorEastAsia" w:hAnsi="Arial" w:cs="Arial"/>
          <w:b/>
          <w:bCs/>
          <w:sz w:val="24"/>
          <w:szCs w:val="24"/>
        </w:rPr>
        <w:t>Dignity of the Court Principle</w:t>
      </w:r>
    </w:p>
    <w:p w14:paraId="68B364A7" w14:textId="2474E0D7" w:rsidR="002C1ADE" w:rsidRPr="00546AD7" w:rsidRDefault="002C1ADE" w:rsidP="00546AD7">
      <w:pPr>
        <w:spacing w:line="257" w:lineRule="auto"/>
        <w:ind w:left="360"/>
        <w:rPr>
          <w:rFonts w:ascii="Arial" w:eastAsiaTheme="minorEastAsia" w:hAnsi="Arial" w:cs="Arial"/>
          <w:szCs w:val="24"/>
        </w:rPr>
      </w:pPr>
      <w:r w:rsidRPr="00546AD7">
        <w:rPr>
          <w:rFonts w:ascii="Arial" w:eastAsiaTheme="minorEastAsia" w:hAnsi="Arial" w:cs="Arial"/>
          <w:szCs w:val="24"/>
        </w:rPr>
        <w:t xml:space="preserve">It is important that any analysis maintains the dignity of the courts and tribunals and does not undermine their functioning as working bodies. </w:t>
      </w:r>
      <w:r w:rsidR="00C87397">
        <w:rPr>
          <w:rFonts w:ascii="Arial" w:eastAsiaTheme="minorEastAsia" w:hAnsi="Arial" w:cs="Arial"/>
          <w:szCs w:val="24"/>
        </w:rPr>
        <w:t>This is consistent with access to justice.</w:t>
      </w:r>
    </w:p>
    <w:p w14:paraId="55280E01" w14:textId="77777777" w:rsidR="009D1A2A" w:rsidRPr="009D1A2A" w:rsidRDefault="009D1A2A" w:rsidP="009D1A2A">
      <w:pPr>
        <w:pStyle w:val="ListParagraph"/>
        <w:spacing w:line="257" w:lineRule="auto"/>
        <w:rPr>
          <w:rFonts w:ascii="Arial" w:eastAsiaTheme="minorEastAsia" w:hAnsi="Arial" w:cs="Arial"/>
          <w:szCs w:val="24"/>
        </w:rPr>
      </w:pPr>
    </w:p>
    <w:p w14:paraId="452958EC" w14:textId="77777777" w:rsidR="002C1ADE" w:rsidRPr="002C1ADE" w:rsidRDefault="002C1ADE" w:rsidP="009D1A2A">
      <w:pPr>
        <w:pStyle w:val="ListParagraph"/>
        <w:numPr>
          <w:ilvl w:val="0"/>
          <w:numId w:val="22"/>
        </w:numPr>
        <w:spacing w:line="257" w:lineRule="auto"/>
        <w:rPr>
          <w:rFonts w:ascii="Arial" w:eastAsiaTheme="minorEastAsia" w:hAnsi="Arial" w:cs="Arial"/>
          <w:b/>
          <w:bCs/>
          <w:sz w:val="24"/>
          <w:szCs w:val="24"/>
        </w:rPr>
      </w:pPr>
      <w:r w:rsidRPr="002C1ADE">
        <w:rPr>
          <w:rFonts w:ascii="Arial" w:eastAsiaTheme="minorEastAsia" w:hAnsi="Arial" w:cs="Arial"/>
          <w:b/>
          <w:bCs/>
          <w:sz w:val="24"/>
          <w:szCs w:val="24"/>
        </w:rPr>
        <w:t>Independence of the Judiciary</w:t>
      </w:r>
    </w:p>
    <w:p w14:paraId="5E45320B" w14:textId="77777777" w:rsidR="002C1ADE" w:rsidRPr="00546AD7" w:rsidRDefault="002C1ADE" w:rsidP="00546AD7">
      <w:pPr>
        <w:spacing w:line="257" w:lineRule="auto"/>
        <w:ind w:left="360"/>
        <w:rPr>
          <w:rFonts w:ascii="Arial" w:eastAsiaTheme="minorEastAsia" w:hAnsi="Arial" w:cs="Arial"/>
          <w:szCs w:val="24"/>
        </w:rPr>
      </w:pPr>
      <w:r w:rsidRPr="00546AD7">
        <w:rPr>
          <w:rFonts w:ascii="Arial" w:eastAsiaTheme="minorEastAsia" w:hAnsi="Arial" w:cs="Arial"/>
          <w:szCs w:val="24"/>
        </w:rPr>
        <w:t>It is important that any analysis respects the independence of the judiciary and their impartial judgment.</w:t>
      </w:r>
    </w:p>
    <w:p w14:paraId="3E79B059" w14:textId="77777777" w:rsidR="009D1A2A" w:rsidRPr="009D1A2A" w:rsidRDefault="009D1A2A" w:rsidP="009D1A2A">
      <w:pPr>
        <w:pStyle w:val="ListParagraph"/>
        <w:spacing w:line="257" w:lineRule="auto"/>
        <w:rPr>
          <w:rFonts w:ascii="Arial" w:eastAsiaTheme="minorEastAsia" w:hAnsi="Arial" w:cs="Arial"/>
          <w:szCs w:val="24"/>
        </w:rPr>
      </w:pPr>
    </w:p>
    <w:p w14:paraId="74E08270" w14:textId="2A7FBCD0" w:rsidR="00364811" w:rsidRPr="00364811" w:rsidRDefault="002C1ADE" w:rsidP="00364811">
      <w:pPr>
        <w:pStyle w:val="ListParagraph"/>
        <w:numPr>
          <w:ilvl w:val="0"/>
          <w:numId w:val="22"/>
        </w:numPr>
        <w:spacing w:line="257" w:lineRule="auto"/>
        <w:rPr>
          <w:rFonts w:ascii="Arial" w:eastAsiaTheme="minorEastAsia" w:hAnsi="Arial" w:cs="Arial"/>
          <w:b/>
          <w:bCs/>
          <w:sz w:val="24"/>
          <w:szCs w:val="24"/>
        </w:rPr>
      </w:pPr>
      <w:r w:rsidRPr="00364811">
        <w:rPr>
          <w:rFonts w:ascii="Arial" w:hAnsi="Arial" w:cs="Arial"/>
          <w:b/>
          <w:bCs/>
          <w:sz w:val="24"/>
          <w:szCs w:val="24"/>
        </w:rPr>
        <w:t>Appropriate Scrutiny Principle</w:t>
      </w:r>
    </w:p>
    <w:p w14:paraId="45E996E5" w14:textId="7A04FE03" w:rsidR="009D1A2A" w:rsidRPr="006B1C3F" w:rsidRDefault="002C1ADE" w:rsidP="006B1C3F">
      <w:pPr>
        <w:ind w:left="426"/>
        <w:rPr>
          <w:rFonts w:ascii="Arial" w:hAnsi="Arial" w:cs="Arial"/>
          <w:szCs w:val="24"/>
        </w:rPr>
      </w:pPr>
      <w:r w:rsidRPr="006B1C3F">
        <w:rPr>
          <w:rFonts w:ascii="Arial" w:hAnsi="Arial" w:cs="Arial"/>
          <w:szCs w:val="24"/>
        </w:rPr>
        <w:t xml:space="preserve">We seek to encourage the analysis of machine-readable judgments to allow the public to </w:t>
      </w:r>
      <w:r w:rsidR="00D370CA" w:rsidRPr="006B1C3F">
        <w:rPr>
          <w:rFonts w:ascii="Arial" w:hAnsi="Arial" w:cs="Arial"/>
          <w:szCs w:val="24"/>
        </w:rPr>
        <w:t>scrutinise justice outcomes and the law more effectively</w:t>
      </w:r>
      <w:r w:rsidRPr="006B1C3F">
        <w:rPr>
          <w:rFonts w:ascii="Arial" w:hAnsi="Arial" w:cs="Arial"/>
          <w:szCs w:val="24"/>
        </w:rPr>
        <w:t xml:space="preserve">. </w:t>
      </w:r>
      <w:r w:rsidRPr="00FC43E6">
        <w:rPr>
          <w:rFonts w:ascii="Arial" w:hAnsi="Arial" w:cs="Arial"/>
          <w:szCs w:val="24"/>
        </w:rPr>
        <w:t xml:space="preserve">We also acknowledge </w:t>
      </w:r>
      <w:r w:rsidR="001F5008">
        <w:rPr>
          <w:rFonts w:ascii="Arial" w:hAnsi="Arial" w:cs="Arial"/>
          <w:szCs w:val="24"/>
        </w:rPr>
        <w:t>that the</w:t>
      </w:r>
      <w:r w:rsidRPr="00FC43E6">
        <w:rPr>
          <w:rFonts w:ascii="Arial" w:hAnsi="Arial" w:cs="Arial"/>
          <w:szCs w:val="24"/>
        </w:rPr>
        <w:t xml:space="preserve"> incomplete </w:t>
      </w:r>
      <w:r w:rsidR="006E6E97" w:rsidRPr="00FC43E6">
        <w:rPr>
          <w:rFonts w:ascii="Arial" w:hAnsi="Arial" w:cs="Arial"/>
          <w:szCs w:val="24"/>
        </w:rPr>
        <w:t xml:space="preserve">nature of the dataset </w:t>
      </w:r>
      <w:r w:rsidR="001F5008">
        <w:rPr>
          <w:rFonts w:ascii="Arial" w:hAnsi="Arial" w:cs="Arial"/>
          <w:szCs w:val="24"/>
        </w:rPr>
        <w:t>and the</w:t>
      </w:r>
      <w:r w:rsidR="008249CF">
        <w:rPr>
          <w:rFonts w:ascii="Arial" w:hAnsi="Arial" w:cs="Arial"/>
          <w:szCs w:val="24"/>
        </w:rPr>
        <w:t xml:space="preserve"> current</w:t>
      </w:r>
      <w:r w:rsidR="001F5008">
        <w:rPr>
          <w:rFonts w:ascii="Arial" w:hAnsi="Arial" w:cs="Arial"/>
          <w:szCs w:val="24"/>
        </w:rPr>
        <w:t xml:space="preserve"> </w:t>
      </w:r>
      <w:r w:rsidR="008249CF">
        <w:rPr>
          <w:rFonts w:ascii="Arial" w:hAnsi="Arial" w:cs="Arial"/>
          <w:szCs w:val="24"/>
        </w:rPr>
        <w:t>lack of safeguard against</w:t>
      </w:r>
      <w:r w:rsidR="001F5008">
        <w:rPr>
          <w:rFonts w:ascii="Arial" w:hAnsi="Arial" w:cs="Arial"/>
          <w:szCs w:val="24"/>
        </w:rPr>
        <w:t xml:space="preserve"> opaque or </w:t>
      </w:r>
      <w:r w:rsidR="008249CF">
        <w:rPr>
          <w:rFonts w:ascii="Arial" w:hAnsi="Arial" w:cs="Arial"/>
          <w:szCs w:val="24"/>
        </w:rPr>
        <w:t>biased</w:t>
      </w:r>
      <w:r w:rsidR="001F5008">
        <w:rPr>
          <w:rFonts w:ascii="Arial" w:hAnsi="Arial" w:cs="Arial"/>
          <w:szCs w:val="24"/>
        </w:rPr>
        <w:t xml:space="preserve"> methodologies </w:t>
      </w:r>
      <w:r w:rsidR="006B60F1">
        <w:rPr>
          <w:rFonts w:ascii="Arial" w:hAnsi="Arial" w:cs="Arial"/>
          <w:szCs w:val="24"/>
        </w:rPr>
        <w:t>increases</w:t>
      </w:r>
      <w:r w:rsidR="006E6E97" w:rsidRPr="00FC43E6">
        <w:rPr>
          <w:rFonts w:ascii="Arial" w:hAnsi="Arial" w:cs="Arial"/>
          <w:szCs w:val="24"/>
        </w:rPr>
        <w:t xml:space="preserve"> the risk of inaccurate </w:t>
      </w:r>
      <w:r w:rsidR="00721262" w:rsidRPr="00FC43E6">
        <w:rPr>
          <w:rFonts w:ascii="Arial" w:hAnsi="Arial" w:cs="Arial"/>
          <w:szCs w:val="24"/>
        </w:rPr>
        <w:t xml:space="preserve">or biased conclusions which may cause harm to </w:t>
      </w:r>
      <w:r w:rsidRPr="00FC43E6">
        <w:rPr>
          <w:rFonts w:ascii="Arial" w:hAnsi="Arial" w:cs="Arial"/>
          <w:szCs w:val="24"/>
        </w:rPr>
        <w:t>individuals</w:t>
      </w:r>
      <w:r w:rsidR="00FC43E6" w:rsidRPr="00FC43E6">
        <w:rPr>
          <w:rFonts w:ascii="Arial" w:hAnsi="Arial" w:cs="Arial"/>
          <w:szCs w:val="24"/>
        </w:rPr>
        <w:t xml:space="preserve"> named therein.</w:t>
      </w:r>
    </w:p>
    <w:p w14:paraId="78461D4C" w14:textId="77777777" w:rsidR="006B1C3F" w:rsidRPr="006B1C3F" w:rsidRDefault="002C1ADE" w:rsidP="006B1C3F">
      <w:pPr>
        <w:ind w:left="426"/>
        <w:rPr>
          <w:rFonts w:ascii="Arial" w:hAnsi="Arial" w:cs="Arial"/>
          <w:szCs w:val="24"/>
        </w:rPr>
      </w:pPr>
      <w:r w:rsidRPr="006B1C3F">
        <w:rPr>
          <w:rFonts w:ascii="Arial" w:hAnsi="Arial" w:cs="Arial"/>
          <w:szCs w:val="24"/>
        </w:rPr>
        <w:t xml:space="preserve">In order to strike a balance, the Ministry of Justice prefers to: </w:t>
      </w:r>
    </w:p>
    <w:p w14:paraId="6FC22AB9" w14:textId="1AE23912" w:rsidR="006B1C3F" w:rsidRPr="006B1C3F" w:rsidRDefault="002C1ADE" w:rsidP="006B1C3F">
      <w:pPr>
        <w:pStyle w:val="ListParagraph"/>
        <w:numPr>
          <w:ilvl w:val="0"/>
          <w:numId w:val="25"/>
        </w:numPr>
        <w:rPr>
          <w:rFonts w:ascii="Arial" w:hAnsi="Arial" w:cs="Arial"/>
          <w:sz w:val="24"/>
          <w:szCs w:val="24"/>
        </w:rPr>
      </w:pPr>
      <w:r w:rsidRPr="006B1C3F">
        <w:rPr>
          <w:rFonts w:ascii="Arial" w:hAnsi="Arial" w:cs="Arial"/>
          <w:sz w:val="24"/>
          <w:szCs w:val="24"/>
          <w:u w:val="single"/>
        </w:rPr>
        <w:t>prohibit</w:t>
      </w:r>
      <w:r w:rsidRPr="006B1C3F">
        <w:rPr>
          <w:rFonts w:ascii="Arial" w:hAnsi="Arial" w:cs="Arial"/>
          <w:sz w:val="24"/>
          <w:szCs w:val="24"/>
        </w:rPr>
        <w:t xml:space="preserve"> the profiling of named individuals or identifiable groupings of individuals using computational methods</w:t>
      </w:r>
      <w:r w:rsidR="007E260B">
        <w:rPr>
          <w:rFonts w:ascii="Arial" w:hAnsi="Arial" w:cs="Arial"/>
          <w:sz w:val="24"/>
          <w:szCs w:val="24"/>
        </w:rPr>
        <w:t xml:space="preserve"> (including judges, legal professionals and parties)</w:t>
      </w:r>
      <w:r w:rsidRPr="006B1C3F">
        <w:rPr>
          <w:rFonts w:ascii="Arial" w:hAnsi="Arial" w:cs="Arial"/>
          <w:sz w:val="24"/>
          <w:szCs w:val="24"/>
        </w:rPr>
        <w:t>;</w:t>
      </w:r>
    </w:p>
    <w:p w14:paraId="53F1D131" w14:textId="79B2D653" w:rsidR="009D1A2A" w:rsidRPr="006B1C3F" w:rsidRDefault="002C1ADE" w:rsidP="006B1C3F">
      <w:pPr>
        <w:pStyle w:val="ListParagraph"/>
        <w:numPr>
          <w:ilvl w:val="0"/>
          <w:numId w:val="25"/>
        </w:numPr>
        <w:rPr>
          <w:rFonts w:ascii="Arial" w:hAnsi="Arial" w:cs="Arial"/>
          <w:sz w:val="24"/>
          <w:szCs w:val="24"/>
        </w:rPr>
      </w:pPr>
      <w:r w:rsidRPr="006B1C3F">
        <w:rPr>
          <w:rFonts w:ascii="Arial" w:hAnsi="Arial" w:cs="Arial"/>
          <w:sz w:val="24"/>
          <w:szCs w:val="24"/>
          <w:u w:val="single"/>
        </w:rPr>
        <w:t>permit and encourage</w:t>
      </w:r>
      <w:r w:rsidRPr="006B1C3F">
        <w:rPr>
          <w:rFonts w:ascii="Arial" w:hAnsi="Arial" w:cs="Arial"/>
          <w:sz w:val="24"/>
          <w:szCs w:val="24"/>
        </w:rPr>
        <w:t xml:space="preserve"> analysis in which personal information is fully anonymised and outputs are anonymised/aggregated.</w:t>
      </w:r>
    </w:p>
    <w:p w14:paraId="53BA5AFF" w14:textId="14854CC7" w:rsidR="002C1ADE" w:rsidRPr="006B1C3F" w:rsidRDefault="00F56600" w:rsidP="006B1C3F">
      <w:pPr>
        <w:ind w:left="426"/>
        <w:rPr>
          <w:rFonts w:ascii="Arial" w:hAnsi="Arial" w:cs="Arial"/>
          <w:szCs w:val="24"/>
        </w:rPr>
      </w:pPr>
      <w:r w:rsidRPr="00F56600">
        <w:rPr>
          <w:rFonts w:ascii="Arial" w:hAnsi="Arial" w:cs="Arial"/>
          <w:szCs w:val="24"/>
          <w:u w:val="single"/>
        </w:rPr>
        <w:t>As such, transparency and scrutiny of the system, its performance and outcomes (as opposed to named individuals) is encouraged and permitted</w:t>
      </w:r>
      <w:r>
        <w:rPr>
          <w:rFonts w:ascii="Arial" w:hAnsi="Arial" w:cs="Arial"/>
          <w:szCs w:val="24"/>
          <w:u w:val="single"/>
        </w:rPr>
        <w:t>.</w:t>
      </w:r>
      <w:r w:rsidRPr="006B1C3F">
        <w:rPr>
          <w:rFonts w:ascii="Arial" w:hAnsi="Arial" w:cs="Arial"/>
          <w:szCs w:val="24"/>
        </w:rPr>
        <w:t xml:space="preserve"> </w:t>
      </w:r>
      <w:r w:rsidR="002C1ADE" w:rsidRPr="006B1C3F">
        <w:rPr>
          <w:rFonts w:ascii="Arial" w:hAnsi="Arial" w:cs="Arial"/>
          <w:szCs w:val="24"/>
        </w:rPr>
        <w:t xml:space="preserve">Arrangements </w:t>
      </w:r>
      <w:r w:rsidR="00231273">
        <w:rPr>
          <w:rFonts w:ascii="Arial" w:hAnsi="Arial" w:cs="Arial"/>
          <w:szCs w:val="24"/>
        </w:rPr>
        <w:t>should</w:t>
      </w:r>
      <w:r w:rsidR="002C1ADE" w:rsidRPr="006B1C3F">
        <w:rPr>
          <w:rFonts w:ascii="Arial" w:hAnsi="Arial" w:cs="Arial"/>
          <w:szCs w:val="24"/>
        </w:rPr>
        <w:t xml:space="preserve"> therefore be made by the re-user to truly anonymise the personal information contained in judgments </w:t>
      </w:r>
      <w:r w:rsidR="002C1ADE" w:rsidRPr="006B1C3F">
        <w:rPr>
          <w:rFonts w:ascii="Arial" w:hAnsi="Arial" w:cs="Arial"/>
          <w:szCs w:val="24"/>
          <w:u w:val="single"/>
        </w:rPr>
        <w:t>prior to</w:t>
      </w:r>
      <w:r w:rsidR="002C1ADE" w:rsidRPr="006B1C3F">
        <w:rPr>
          <w:rFonts w:ascii="Arial" w:hAnsi="Arial" w:cs="Arial"/>
          <w:szCs w:val="24"/>
        </w:rPr>
        <w:t xml:space="preserve"> </w:t>
      </w:r>
      <w:r w:rsidR="00656C49">
        <w:rPr>
          <w:rFonts w:ascii="Arial" w:hAnsi="Arial" w:cs="Arial"/>
          <w:szCs w:val="24"/>
        </w:rPr>
        <w:t xml:space="preserve">AIML </w:t>
      </w:r>
      <w:r w:rsidR="002C1ADE" w:rsidRPr="006B1C3F">
        <w:rPr>
          <w:rFonts w:ascii="Arial" w:hAnsi="Arial" w:cs="Arial"/>
          <w:szCs w:val="24"/>
        </w:rPr>
        <w:t>analysis.</w:t>
      </w:r>
      <w:r w:rsidR="002C1ADE" w:rsidRPr="006B1C3F">
        <w:rPr>
          <w:rStyle w:val="FootnoteReference"/>
          <w:rFonts w:ascii="Arial" w:hAnsi="Arial" w:cs="Arial"/>
          <w:szCs w:val="24"/>
        </w:rPr>
        <w:footnoteReference w:id="2"/>
      </w:r>
    </w:p>
    <w:p w14:paraId="0664054A" w14:textId="77777777" w:rsidR="009D1A2A" w:rsidRPr="006B1C3F" w:rsidRDefault="009D1A2A" w:rsidP="009D1A2A">
      <w:pPr>
        <w:pStyle w:val="ListParagraph"/>
        <w:rPr>
          <w:rFonts w:ascii="Arial" w:hAnsi="Arial" w:cs="Arial"/>
          <w:sz w:val="24"/>
          <w:szCs w:val="24"/>
        </w:rPr>
      </w:pPr>
    </w:p>
    <w:p w14:paraId="2F41B870" w14:textId="77777777" w:rsidR="002C1ADE" w:rsidRPr="006B1C3F" w:rsidRDefault="002C1ADE" w:rsidP="009D1A2A">
      <w:pPr>
        <w:pStyle w:val="ListParagraph"/>
        <w:numPr>
          <w:ilvl w:val="0"/>
          <w:numId w:val="22"/>
        </w:numPr>
        <w:spacing w:line="257" w:lineRule="auto"/>
        <w:rPr>
          <w:rFonts w:ascii="Arial" w:eastAsia="Calibri" w:hAnsi="Arial" w:cs="Arial"/>
          <w:b/>
          <w:bCs/>
          <w:sz w:val="24"/>
          <w:szCs w:val="24"/>
        </w:rPr>
      </w:pPr>
      <w:r w:rsidRPr="006B1C3F">
        <w:rPr>
          <w:rFonts w:ascii="Arial" w:eastAsia="Calibri" w:hAnsi="Arial" w:cs="Arial"/>
          <w:b/>
          <w:bCs/>
          <w:sz w:val="24"/>
          <w:szCs w:val="24"/>
        </w:rPr>
        <w:t>Anti-Discriminatory Harm Principle</w:t>
      </w:r>
    </w:p>
    <w:p w14:paraId="074D6553" w14:textId="1DCF01A5" w:rsidR="002C1ADE" w:rsidRPr="006B1C3F" w:rsidRDefault="002C1ADE" w:rsidP="006B1C3F">
      <w:pPr>
        <w:ind w:left="360"/>
        <w:rPr>
          <w:rFonts w:ascii="Arial" w:hAnsi="Arial" w:cs="Arial"/>
          <w:szCs w:val="24"/>
        </w:rPr>
      </w:pPr>
      <w:r w:rsidRPr="006B1C3F">
        <w:rPr>
          <w:rFonts w:ascii="Arial" w:hAnsi="Arial" w:cs="Arial"/>
          <w:szCs w:val="24"/>
        </w:rPr>
        <w:t>Outcomes</w:t>
      </w:r>
      <w:r w:rsidR="00F56600">
        <w:rPr>
          <w:rFonts w:ascii="Arial" w:hAnsi="Arial" w:cs="Arial"/>
          <w:szCs w:val="24"/>
        </w:rPr>
        <w:t xml:space="preserve"> of analysis</w:t>
      </w:r>
      <w:r w:rsidRPr="006B1C3F">
        <w:rPr>
          <w:rFonts w:ascii="Arial" w:hAnsi="Arial" w:cs="Arial"/>
          <w:szCs w:val="24"/>
        </w:rPr>
        <w:t xml:space="preserve"> </w:t>
      </w:r>
      <w:r w:rsidR="00844BFC">
        <w:rPr>
          <w:rFonts w:ascii="Arial" w:hAnsi="Arial" w:cs="Arial"/>
          <w:szCs w:val="24"/>
        </w:rPr>
        <w:t>should</w:t>
      </w:r>
      <w:r w:rsidRPr="006B1C3F">
        <w:rPr>
          <w:rFonts w:ascii="Arial" w:hAnsi="Arial" w:cs="Arial"/>
          <w:szCs w:val="24"/>
        </w:rPr>
        <w:t xml:space="preserve"> not cause direct discriminatory harm and reasonable steps should be taken</w:t>
      </w:r>
      <w:r w:rsidR="00844BFC">
        <w:rPr>
          <w:rFonts w:ascii="Arial" w:hAnsi="Arial" w:cs="Arial"/>
          <w:szCs w:val="24"/>
        </w:rPr>
        <w:t xml:space="preserve"> by the re-user</w:t>
      </w:r>
      <w:r w:rsidRPr="006B1C3F">
        <w:rPr>
          <w:rFonts w:ascii="Arial" w:hAnsi="Arial" w:cs="Arial"/>
          <w:szCs w:val="24"/>
        </w:rPr>
        <w:t xml:space="preserve"> to avoid introducing or compounding bias. Where The National Archives considers that there is a risk of direct discriminatory harm, we advise that a licence should not be granted.</w:t>
      </w:r>
    </w:p>
    <w:p w14:paraId="09F2FD38" w14:textId="77777777" w:rsidR="009D1A2A" w:rsidRPr="006B1C3F" w:rsidRDefault="009D1A2A" w:rsidP="009D1A2A">
      <w:pPr>
        <w:pStyle w:val="ListParagraph"/>
        <w:rPr>
          <w:rFonts w:ascii="Arial" w:hAnsi="Arial" w:cs="Arial"/>
          <w:sz w:val="24"/>
          <w:szCs w:val="24"/>
        </w:rPr>
      </w:pPr>
    </w:p>
    <w:p w14:paraId="3F34E350" w14:textId="77777777" w:rsidR="002C1ADE" w:rsidRPr="006B1C3F" w:rsidRDefault="002C1ADE" w:rsidP="009D1A2A">
      <w:pPr>
        <w:pStyle w:val="ListParagraph"/>
        <w:numPr>
          <w:ilvl w:val="0"/>
          <w:numId w:val="22"/>
        </w:numPr>
        <w:rPr>
          <w:rFonts w:ascii="Arial" w:eastAsia="Calibri" w:hAnsi="Arial" w:cs="Arial"/>
          <w:b/>
          <w:bCs/>
          <w:sz w:val="24"/>
          <w:szCs w:val="24"/>
        </w:rPr>
      </w:pPr>
      <w:r w:rsidRPr="006B1C3F">
        <w:rPr>
          <w:rFonts w:ascii="Arial" w:eastAsia="Calibri" w:hAnsi="Arial" w:cs="Arial"/>
          <w:b/>
          <w:bCs/>
          <w:sz w:val="24"/>
          <w:szCs w:val="24"/>
        </w:rPr>
        <w:t>Anti-Bias Principle</w:t>
      </w:r>
    </w:p>
    <w:p w14:paraId="6B015CCF" w14:textId="35D2B021" w:rsidR="002C1ADE" w:rsidRPr="00A96637" w:rsidRDefault="002C1ADE" w:rsidP="00A96637">
      <w:pPr>
        <w:ind w:left="360"/>
        <w:rPr>
          <w:rFonts w:ascii="Arial" w:hAnsi="Arial" w:cs="Arial"/>
          <w:szCs w:val="24"/>
        </w:rPr>
      </w:pPr>
      <w:r w:rsidRPr="00A96637">
        <w:rPr>
          <w:rFonts w:ascii="Arial" w:hAnsi="Arial" w:cs="Arial"/>
          <w:szCs w:val="24"/>
        </w:rPr>
        <w:t>It is good practice for</w:t>
      </w:r>
      <w:r w:rsidR="00844BFC">
        <w:rPr>
          <w:rFonts w:ascii="Arial" w:hAnsi="Arial" w:cs="Arial"/>
          <w:szCs w:val="24"/>
        </w:rPr>
        <w:t xml:space="preserve"> re-users continuously</w:t>
      </w:r>
      <w:r w:rsidR="00702226">
        <w:rPr>
          <w:rFonts w:ascii="Arial" w:hAnsi="Arial" w:cs="Arial"/>
          <w:szCs w:val="24"/>
        </w:rPr>
        <w:t xml:space="preserve"> to</w:t>
      </w:r>
      <w:r w:rsidR="00844BFC">
        <w:rPr>
          <w:rFonts w:ascii="Arial" w:hAnsi="Arial" w:cs="Arial"/>
          <w:szCs w:val="24"/>
        </w:rPr>
        <w:t xml:space="preserve"> review</w:t>
      </w:r>
      <w:r w:rsidRPr="00A96637">
        <w:rPr>
          <w:rFonts w:ascii="Arial" w:hAnsi="Arial" w:cs="Arial"/>
          <w:szCs w:val="24"/>
        </w:rPr>
        <w:t xml:space="preserve"> algorithms. Regularity will depend on the changeability of the data and external factors. We advise The National Archives to remind re-users of their responsibility to operate effective governance around this principle and to ensure that bias does not enter into the process over time.</w:t>
      </w:r>
    </w:p>
    <w:p w14:paraId="38DAB508" w14:textId="77777777" w:rsidR="009D1A2A" w:rsidRPr="006B1C3F" w:rsidRDefault="009D1A2A" w:rsidP="009D1A2A">
      <w:pPr>
        <w:pStyle w:val="ListParagraph"/>
        <w:rPr>
          <w:rFonts w:ascii="Arial" w:hAnsi="Arial" w:cs="Arial"/>
          <w:sz w:val="24"/>
          <w:szCs w:val="24"/>
        </w:rPr>
      </w:pPr>
    </w:p>
    <w:p w14:paraId="2E526EDB" w14:textId="77777777" w:rsidR="002C1ADE" w:rsidRPr="006B1C3F" w:rsidRDefault="002C1ADE" w:rsidP="009D1A2A">
      <w:pPr>
        <w:pStyle w:val="ListParagraph"/>
        <w:numPr>
          <w:ilvl w:val="0"/>
          <w:numId w:val="22"/>
        </w:numPr>
        <w:rPr>
          <w:rFonts w:ascii="Arial" w:hAnsi="Arial" w:cs="Arial"/>
          <w:b/>
          <w:bCs/>
          <w:sz w:val="24"/>
          <w:szCs w:val="24"/>
        </w:rPr>
      </w:pPr>
      <w:r w:rsidRPr="006B1C3F">
        <w:rPr>
          <w:rFonts w:ascii="Arial" w:hAnsi="Arial" w:cs="Arial"/>
          <w:b/>
          <w:bCs/>
          <w:sz w:val="24"/>
          <w:szCs w:val="24"/>
        </w:rPr>
        <w:t>Personal Privacy Principle</w:t>
      </w:r>
    </w:p>
    <w:p w14:paraId="558A51C7" w14:textId="3920F66B" w:rsidR="009D1A2A" w:rsidRPr="00925DEE" w:rsidRDefault="002C1ADE" w:rsidP="00925DEE">
      <w:pPr>
        <w:ind w:left="360"/>
        <w:rPr>
          <w:rFonts w:ascii="Arial" w:hAnsi="Arial" w:cs="Arial"/>
          <w:szCs w:val="24"/>
        </w:rPr>
      </w:pPr>
      <w:r w:rsidRPr="00A96637">
        <w:rPr>
          <w:rFonts w:ascii="Arial" w:hAnsi="Arial" w:cs="Arial"/>
          <w:szCs w:val="24"/>
        </w:rPr>
        <w:lastRenderedPageBreak/>
        <w:t>We advise The National Archives to put in place licence terms that compel re-users to align practices to the standards set out in the DPA and UK GDPR with regard to data security and data subjects’ rights, regardless of the re-user’s location.</w:t>
      </w:r>
    </w:p>
    <w:p w14:paraId="0BCA7156" w14:textId="74B8AE3A" w:rsidR="002C1ADE" w:rsidRPr="00D6751E" w:rsidRDefault="002C1ADE" w:rsidP="00D6751E">
      <w:pPr>
        <w:ind w:left="426"/>
        <w:rPr>
          <w:rFonts w:ascii="Arial" w:eastAsia="Calibri" w:hAnsi="Arial" w:cs="Arial"/>
          <w:szCs w:val="24"/>
        </w:rPr>
      </w:pPr>
      <w:r w:rsidRPr="00D6751E">
        <w:rPr>
          <w:rFonts w:ascii="Arial" w:hAnsi="Arial" w:cs="Arial"/>
          <w:szCs w:val="24"/>
        </w:rPr>
        <w:t xml:space="preserve">With aggregated or anonymised outputs, </w:t>
      </w:r>
      <w:r w:rsidR="00FC1645">
        <w:rPr>
          <w:rFonts w:ascii="Arial" w:hAnsi="Arial" w:cs="Arial"/>
          <w:szCs w:val="24"/>
        </w:rPr>
        <w:t>re-users should take care</w:t>
      </w:r>
      <w:r w:rsidRPr="00D6751E">
        <w:rPr>
          <w:rFonts w:ascii="Arial" w:eastAsia="Calibri" w:hAnsi="Arial" w:cs="Arial"/>
          <w:szCs w:val="24"/>
        </w:rPr>
        <w:t xml:space="preserve"> to ensure insights do not lead to identification or probable identification through deduction.</w:t>
      </w:r>
    </w:p>
    <w:p w14:paraId="088EDBDA" w14:textId="77777777" w:rsidR="009D1A2A" w:rsidRPr="006B1C3F" w:rsidRDefault="009D1A2A" w:rsidP="009D1A2A">
      <w:pPr>
        <w:pStyle w:val="ListParagraph"/>
        <w:rPr>
          <w:rFonts w:ascii="Arial" w:eastAsia="Calibri" w:hAnsi="Arial" w:cs="Arial"/>
          <w:sz w:val="24"/>
          <w:szCs w:val="24"/>
        </w:rPr>
      </w:pPr>
    </w:p>
    <w:p w14:paraId="706AAD9B" w14:textId="77777777" w:rsidR="002C1ADE" w:rsidRPr="006B1C3F" w:rsidRDefault="002C1ADE" w:rsidP="009D1A2A">
      <w:pPr>
        <w:pStyle w:val="ListParagraph"/>
        <w:numPr>
          <w:ilvl w:val="0"/>
          <w:numId w:val="22"/>
        </w:numPr>
        <w:rPr>
          <w:rFonts w:ascii="Arial" w:hAnsi="Arial" w:cs="Arial"/>
          <w:b/>
          <w:bCs/>
          <w:sz w:val="24"/>
          <w:szCs w:val="24"/>
        </w:rPr>
      </w:pPr>
      <w:r w:rsidRPr="006B1C3F">
        <w:rPr>
          <w:rFonts w:ascii="Arial" w:hAnsi="Arial" w:cs="Arial"/>
          <w:b/>
          <w:bCs/>
          <w:sz w:val="24"/>
          <w:szCs w:val="24"/>
        </w:rPr>
        <w:t>Discoverability Principle</w:t>
      </w:r>
    </w:p>
    <w:p w14:paraId="47930A72" w14:textId="464AD449" w:rsidR="002C1ADE" w:rsidRPr="00A96637" w:rsidRDefault="002C1ADE" w:rsidP="00A96637">
      <w:pPr>
        <w:ind w:left="360"/>
        <w:rPr>
          <w:rFonts w:ascii="Arial" w:hAnsi="Arial" w:cs="Arial"/>
          <w:szCs w:val="24"/>
        </w:rPr>
      </w:pPr>
      <w:r w:rsidRPr="00A96637">
        <w:rPr>
          <w:rFonts w:ascii="Arial" w:hAnsi="Arial" w:cs="Arial"/>
          <w:szCs w:val="24"/>
        </w:rPr>
        <w:t xml:space="preserve">We acknowledge a </w:t>
      </w:r>
      <w:r w:rsidR="00FC1645">
        <w:rPr>
          <w:rFonts w:ascii="Arial" w:hAnsi="Arial" w:cs="Arial"/>
          <w:szCs w:val="24"/>
        </w:rPr>
        <w:t>distinction</w:t>
      </w:r>
      <w:r w:rsidRPr="00A96637">
        <w:rPr>
          <w:rFonts w:ascii="Arial" w:hAnsi="Arial" w:cs="Arial"/>
          <w:szCs w:val="24"/>
        </w:rPr>
        <w:t xml:space="preserve"> between publicly available and readily available information. For example, care </w:t>
      </w:r>
      <w:r w:rsidR="00231273">
        <w:rPr>
          <w:rFonts w:ascii="Arial" w:hAnsi="Arial" w:cs="Arial"/>
          <w:szCs w:val="24"/>
        </w:rPr>
        <w:t>should</w:t>
      </w:r>
      <w:r w:rsidRPr="00A96637">
        <w:rPr>
          <w:rFonts w:ascii="Arial" w:hAnsi="Arial" w:cs="Arial"/>
          <w:szCs w:val="24"/>
        </w:rPr>
        <w:t xml:space="preserve"> be given to data subjects’ discoverability in line with MoJ/The National Archives’ decision not to index the content of judgments on search engine</w:t>
      </w:r>
      <w:r w:rsidR="00FE7A54">
        <w:rPr>
          <w:rFonts w:ascii="Arial" w:hAnsi="Arial" w:cs="Arial"/>
          <w:szCs w:val="24"/>
        </w:rPr>
        <w:t>s.</w:t>
      </w:r>
    </w:p>
    <w:p w14:paraId="4A1B806B" w14:textId="77777777" w:rsidR="009D1A2A" w:rsidRPr="006B1C3F" w:rsidRDefault="009D1A2A" w:rsidP="009D1A2A">
      <w:pPr>
        <w:pStyle w:val="ListParagraph"/>
        <w:rPr>
          <w:rFonts w:ascii="Arial" w:hAnsi="Arial" w:cs="Arial"/>
          <w:sz w:val="24"/>
          <w:szCs w:val="24"/>
        </w:rPr>
      </w:pPr>
    </w:p>
    <w:p w14:paraId="6F048A0F" w14:textId="77777777" w:rsidR="002C1ADE" w:rsidRPr="006B1C3F" w:rsidRDefault="002C1ADE" w:rsidP="009D1A2A">
      <w:pPr>
        <w:pStyle w:val="ListParagraph"/>
        <w:numPr>
          <w:ilvl w:val="0"/>
          <w:numId w:val="22"/>
        </w:numPr>
        <w:spacing w:line="257" w:lineRule="auto"/>
        <w:rPr>
          <w:rFonts w:ascii="Arial" w:eastAsia="Calibri" w:hAnsi="Arial" w:cs="Arial"/>
          <w:b/>
          <w:bCs/>
          <w:sz w:val="24"/>
          <w:szCs w:val="24"/>
        </w:rPr>
      </w:pPr>
      <w:r w:rsidRPr="006B1C3F">
        <w:rPr>
          <w:rFonts w:ascii="Arial" w:eastAsia="Calibri" w:hAnsi="Arial" w:cs="Arial"/>
          <w:b/>
          <w:bCs/>
          <w:sz w:val="24"/>
          <w:szCs w:val="24"/>
        </w:rPr>
        <w:t>Algorithmic Transparency Principle</w:t>
      </w:r>
    </w:p>
    <w:p w14:paraId="33365039" w14:textId="4A8B9682" w:rsidR="00C4451C" w:rsidRDefault="002C1ADE" w:rsidP="00C4451C">
      <w:pPr>
        <w:spacing w:line="257" w:lineRule="auto"/>
        <w:ind w:left="360"/>
        <w:rPr>
          <w:rFonts w:ascii="Arial" w:eastAsia="Calibri" w:hAnsi="Arial" w:cs="Arial"/>
          <w:szCs w:val="24"/>
        </w:rPr>
      </w:pPr>
      <w:r w:rsidRPr="00A96637">
        <w:rPr>
          <w:rFonts w:ascii="Arial" w:eastAsia="Calibri" w:hAnsi="Arial" w:cs="Arial"/>
          <w:szCs w:val="24"/>
        </w:rPr>
        <w:t xml:space="preserve">We favour explainable and transparent algorithms. However, it is clear that achieving algorithmic transparency or satisfactory </w:t>
      </w:r>
      <w:r w:rsidR="00AA019F">
        <w:rPr>
          <w:rFonts w:ascii="Arial" w:eastAsia="Calibri" w:hAnsi="Arial" w:cs="Arial"/>
          <w:szCs w:val="24"/>
        </w:rPr>
        <w:t xml:space="preserve">algorithmic </w:t>
      </w:r>
      <w:r w:rsidRPr="00A96637">
        <w:rPr>
          <w:rFonts w:ascii="Arial" w:eastAsia="Calibri" w:hAnsi="Arial" w:cs="Arial"/>
          <w:szCs w:val="24"/>
        </w:rPr>
        <w:t>assurance</w:t>
      </w:r>
      <w:r w:rsidR="00822EC3">
        <w:rPr>
          <w:rFonts w:ascii="Arial" w:eastAsia="Calibri" w:hAnsi="Arial" w:cs="Arial"/>
          <w:szCs w:val="24"/>
        </w:rPr>
        <w:t xml:space="preserve"> </w:t>
      </w:r>
      <w:r w:rsidRPr="00A96637">
        <w:rPr>
          <w:rFonts w:ascii="Arial" w:eastAsia="Calibri" w:hAnsi="Arial" w:cs="Arial"/>
          <w:szCs w:val="24"/>
        </w:rPr>
        <w:t>is</w:t>
      </w:r>
      <w:r w:rsidR="00822EC3">
        <w:rPr>
          <w:rFonts w:ascii="Arial" w:eastAsia="Calibri" w:hAnsi="Arial" w:cs="Arial"/>
          <w:szCs w:val="24"/>
        </w:rPr>
        <w:t xml:space="preserve"> </w:t>
      </w:r>
      <w:r w:rsidRPr="00A96637">
        <w:rPr>
          <w:rFonts w:ascii="Arial" w:eastAsia="Calibri" w:hAnsi="Arial" w:cs="Arial"/>
          <w:szCs w:val="24"/>
        </w:rPr>
        <w:t>a</w:t>
      </w:r>
      <w:r w:rsidR="00AA019F">
        <w:rPr>
          <w:rFonts w:ascii="Arial" w:eastAsia="Calibri" w:hAnsi="Arial" w:cs="Arial"/>
          <w:szCs w:val="24"/>
        </w:rPr>
        <w:t xml:space="preserve">n active </w:t>
      </w:r>
      <w:r w:rsidRPr="00A96637">
        <w:rPr>
          <w:rFonts w:ascii="Arial" w:eastAsia="Calibri" w:hAnsi="Arial" w:cs="Arial"/>
          <w:szCs w:val="24"/>
        </w:rPr>
        <w:t>challenge within the emerging AI</w:t>
      </w:r>
      <w:r w:rsidR="001950AD">
        <w:rPr>
          <w:rFonts w:ascii="Arial" w:eastAsia="Calibri" w:hAnsi="Arial" w:cs="Arial"/>
          <w:szCs w:val="24"/>
        </w:rPr>
        <w:t>ML</w:t>
      </w:r>
      <w:r w:rsidRPr="00A96637">
        <w:rPr>
          <w:rFonts w:ascii="Arial" w:eastAsia="Calibri" w:hAnsi="Arial" w:cs="Arial"/>
          <w:szCs w:val="24"/>
        </w:rPr>
        <w:t xml:space="preserve"> sector. </w:t>
      </w:r>
    </w:p>
    <w:p w14:paraId="5384EE60" w14:textId="41334B50" w:rsidR="00A96637" w:rsidRDefault="00A96637" w:rsidP="00C4451C">
      <w:pPr>
        <w:spacing w:line="257" w:lineRule="auto"/>
        <w:ind w:left="360"/>
        <w:rPr>
          <w:rFonts w:ascii="Arial" w:eastAsia="Calibri" w:hAnsi="Arial" w:cs="Arial"/>
          <w:szCs w:val="24"/>
        </w:rPr>
      </w:pPr>
      <w:r w:rsidRPr="00A96637">
        <w:rPr>
          <w:rFonts w:ascii="Arial" w:eastAsia="Calibri" w:hAnsi="Arial" w:cs="Arial"/>
          <w:szCs w:val="24"/>
        </w:rPr>
        <w:t>W</w:t>
      </w:r>
      <w:r w:rsidR="002C1ADE" w:rsidRPr="00A96637">
        <w:rPr>
          <w:rFonts w:ascii="Arial" w:eastAsia="Calibri" w:hAnsi="Arial" w:cs="Arial"/>
          <w:szCs w:val="24"/>
        </w:rPr>
        <w:t>e set out guidance in this document to</w:t>
      </w:r>
      <w:r w:rsidR="00B37652">
        <w:rPr>
          <w:rFonts w:ascii="Arial" w:eastAsia="Calibri" w:hAnsi="Arial" w:cs="Arial"/>
          <w:szCs w:val="24"/>
        </w:rPr>
        <w:t xml:space="preserve"> </w:t>
      </w:r>
      <w:r w:rsidR="003E1847">
        <w:rPr>
          <w:rFonts w:ascii="Arial" w:eastAsia="Calibri" w:hAnsi="Arial" w:cs="Arial"/>
          <w:szCs w:val="24"/>
        </w:rPr>
        <w:t xml:space="preserve">protect </w:t>
      </w:r>
      <w:r w:rsidR="0064101D">
        <w:rPr>
          <w:rFonts w:ascii="Arial" w:eastAsia="Calibri" w:hAnsi="Arial" w:cs="Arial"/>
          <w:szCs w:val="24"/>
        </w:rPr>
        <w:t xml:space="preserve">consumers </w:t>
      </w:r>
      <w:r w:rsidR="002C1ADE" w:rsidRPr="00A96637">
        <w:rPr>
          <w:rFonts w:ascii="Arial" w:eastAsia="Calibri" w:hAnsi="Arial" w:cs="Arial"/>
          <w:szCs w:val="24"/>
        </w:rPr>
        <w:t>against high-risk re-uses in the medium-term</w:t>
      </w:r>
      <w:r w:rsidR="00841C13">
        <w:rPr>
          <w:rFonts w:ascii="Arial" w:eastAsia="Calibri" w:hAnsi="Arial" w:cs="Arial"/>
          <w:szCs w:val="24"/>
        </w:rPr>
        <w:t xml:space="preserve"> </w:t>
      </w:r>
      <w:r w:rsidR="00841C13" w:rsidRPr="00A96637">
        <w:rPr>
          <w:rFonts w:ascii="Arial" w:eastAsia="Calibri" w:hAnsi="Arial" w:cs="Arial"/>
          <w:szCs w:val="24"/>
        </w:rPr>
        <w:t xml:space="preserve">(see Annex </w:t>
      </w:r>
      <w:r w:rsidR="00117EEB">
        <w:rPr>
          <w:rFonts w:ascii="Arial" w:eastAsia="Calibri" w:hAnsi="Arial" w:cs="Arial"/>
          <w:szCs w:val="24"/>
        </w:rPr>
        <w:t>A</w:t>
      </w:r>
      <w:r w:rsidR="00841C13" w:rsidRPr="00A96637">
        <w:rPr>
          <w:rFonts w:ascii="Arial" w:eastAsia="Calibri" w:hAnsi="Arial" w:cs="Arial"/>
          <w:szCs w:val="24"/>
        </w:rPr>
        <w:t>)</w:t>
      </w:r>
      <w:r w:rsidR="002C1ADE" w:rsidRPr="00A96637">
        <w:rPr>
          <w:rFonts w:ascii="Arial" w:eastAsia="Calibri" w:hAnsi="Arial" w:cs="Arial"/>
          <w:szCs w:val="24"/>
        </w:rPr>
        <w:t xml:space="preserve"> and </w:t>
      </w:r>
      <w:r w:rsidR="002C1ADE" w:rsidRPr="00B73395">
        <w:rPr>
          <w:rFonts w:ascii="Arial" w:eastAsia="Calibri" w:hAnsi="Arial" w:cs="Arial"/>
          <w:szCs w:val="24"/>
        </w:rPr>
        <w:t xml:space="preserve">we will update </w:t>
      </w:r>
      <w:r w:rsidR="00C05AD7">
        <w:rPr>
          <w:rFonts w:ascii="Arial" w:eastAsia="Calibri" w:hAnsi="Arial" w:cs="Arial"/>
          <w:szCs w:val="24"/>
        </w:rPr>
        <w:t>this document</w:t>
      </w:r>
      <w:r w:rsidR="002C1ADE" w:rsidRPr="00B73395">
        <w:rPr>
          <w:rFonts w:ascii="Arial" w:eastAsia="Calibri" w:hAnsi="Arial" w:cs="Arial"/>
          <w:szCs w:val="24"/>
        </w:rPr>
        <w:t xml:space="preserve"> </w:t>
      </w:r>
      <w:r w:rsidR="00E26288" w:rsidRPr="00B73395">
        <w:rPr>
          <w:rFonts w:ascii="Arial" w:eastAsia="Calibri" w:hAnsi="Arial" w:cs="Arial"/>
          <w:szCs w:val="24"/>
        </w:rPr>
        <w:t xml:space="preserve">in light of </w:t>
      </w:r>
      <w:r w:rsidR="00453BC7">
        <w:rPr>
          <w:rFonts w:ascii="Arial" w:eastAsia="Calibri" w:hAnsi="Arial" w:cs="Arial"/>
          <w:szCs w:val="24"/>
        </w:rPr>
        <w:t xml:space="preserve">relevant </w:t>
      </w:r>
      <w:r w:rsidR="00E26288" w:rsidRPr="00B73395">
        <w:rPr>
          <w:rFonts w:ascii="Arial" w:eastAsia="Calibri" w:hAnsi="Arial" w:cs="Arial"/>
          <w:szCs w:val="24"/>
        </w:rPr>
        <w:t>developments</w:t>
      </w:r>
      <w:r w:rsidR="008F6C62">
        <w:rPr>
          <w:rFonts w:ascii="Arial" w:eastAsia="Calibri" w:hAnsi="Arial" w:cs="Arial"/>
          <w:szCs w:val="24"/>
        </w:rPr>
        <w:t xml:space="preserve"> such as,</w:t>
      </w:r>
      <w:r w:rsidR="00F11782">
        <w:rPr>
          <w:rFonts w:ascii="Arial" w:eastAsia="Calibri" w:hAnsi="Arial" w:cs="Arial"/>
          <w:szCs w:val="24"/>
        </w:rPr>
        <w:t xml:space="preserve"> </w:t>
      </w:r>
      <w:r w:rsidR="00D509CB">
        <w:rPr>
          <w:rFonts w:ascii="Arial" w:eastAsia="Calibri" w:hAnsi="Arial" w:cs="Arial"/>
          <w:szCs w:val="24"/>
        </w:rPr>
        <w:t>for example</w:t>
      </w:r>
      <w:r w:rsidR="008F6C62">
        <w:rPr>
          <w:rFonts w:ascii="Arial" w:eastAsia="Calibri" w:hAnsi="Arial" w:cs="Arial"/>
          <w:szCs w:val="24"/>
        </w:rPr>
        <w:t>,</w:t>
      </w:r>
      <w:r w:rsidR="00F11782">
        <w:rPr>
          <w:rFonts w:ascii="Arial" w:eastAsia="Calibri" w:hAnsi="Arial" w:cs="Arial"/>
          <w:szCs w:val="24"/>
        </w:rPr>
        <w:t xml:space="preserve"> </w:t>
      </w:r>
      <w:r w:rsidR="00187849">
        <w:rPr>
          <w:rFonts w:ascii="Arial" w:eastAsia="Calibri" w:hAnsi="Arial" w:cs="Arial"/>
          <w:szCs w:val="24"/>
        </w:rPr>
        <w:t>th</w:t>
      </w:r>
      <w:r w:rsidR="00BB641C">
        <w:rPr>
          <w:rFonts w:ascii="Arial" w:eastAsia="Calibri" w:hAnsi="Arial" w:cs="Arial"/>
          <w:szCs w:val="24"/>
        </w:rPr>
        <w:t>e emergence of a mature AI</w:t>
      </w:r>
      <w:r w:rsidR="001950AD">
        <w:rPr>
          <w:rFonts w:ascii="Arial" w:eastAsia="Calibri" w:hAnsi="Arial" w:cs="Arial"/>
          <w:szCs w:val="24"/>
        </w:rPr>
        <w:t>ML</w:t>
      </w:r>
      <w:r w:rsidR="00BB641C">
        <w:rPr>
          <w:rFonts w:ascii="Arial" w:eastAsia="Calibri" w:hAnsi="Arial" w:cs="Arial"/>
          <w:szCs w:val="24"/>
        </w:rPr>
        <w:t xml:space="preserve"> assurance ecosystem.</w:t>
      </w:r>
    </w:p>
    <w:p w14:paraId="153D3F65" w14:textId="31BF4365" w:rsidR="00364811" w:rsidRPr="00A96637" w:rsidRDefault="002C1ADE" w:rsidP="00A96637">
      <w:pPr>
        <w:spacing w:line="257" w:lineRule="auto"/>
        <w:ind w:left="360"/>
        <w:rPr>
          <w:rFonts w:ascii="Arial" w:eastAsia="Calibri" w:hAnsi="Arial" w:cs="Arial"/>
          <w:szCs w:val="24"/>
        </w:rPr>
      </w:pPr>
      <w:r w:rsidRPr="00A96637">
        <w:rPr>
          <w:rFonts w:ascii="Arial" w:eastAsia="Calibri" w:hAnsi="Arial" w:cs="Arial"/>
          <w:szCs w:val="24"/>
        </w:rPr>
        <w:t xml:space="preserve">In the meantime, we advise The National Archives to grant </w:t>
      </w:r>
      <w:r w:rsidR="007A6936">
        <w:rPr>
          <w:rFonts w:ascii="Arial" w:eastAsia="Calibri" w:hAnsi="Arial" w:cs="Arial"/>
          <w:szCs w:val="24"/>
        </w:rPr>
        <w:t xml:space="preserve">licences </w:t>
      </w:r>
      <w:r w:rsidRPr="00A96637">
        <w:rPr>
          <w:rFonts w:ascii="Arial" w:eastAsia="Calibri" w:hAnsi="Arial" w:cs="Arial"/>
          <w:szCs w:val="24"/>
        </w:rPr>
        <w:t>on merit</w:t>
      </w:r>
      <w:r w:rsidR="007A6936">
        <w:rPr>
          <w:rFonts w:ascii="Arial" w:eastAsia="Calibri" w:hAnsi="Arial" w:cs="Arial"/>
          <w:szCs w:val="24"/>
        </w:rPr>
        <w:t xml:space="preserve"> to</w:t>
      </w:r>
      <w:r w:rsidRPr="00A96637">
        <w:rPr>
          <w:rFonts w:ascii="Arial" w:eastAsia="Calibri" w:hAnsi="Arial" w:cs="Arial"/>
          <w:szCs w:val="24"/>
        </w:rPr>
        <w:t xml:space="preserve"> </w:t>
      </w:r>
      <w:r w:rsidR="007A6936">
        <w:rPr>
          <w:rFonts w:ascii="Arial" w:eastAsia="Calibri" w:hAnsi="Arial" w:cs="Arial"/>
          <w:szCs w:val="24"/>
        </w:rPr>
        <w:t>proposals</w:t>
      </w:r>
      <w:r w:rsidRPr="00A96637">
        <w:rPr>
          <w:rFonts w:ascii="Arial" w:eastAsia="Calibri" w:hAnsi="Arial" w:cs="Arial"/>
          <w:szCs w:val="24"/>
        </w:rPr>
        <w:t xml:space="preserve"> not identified as high-risk with a reminder to re-users of good practice </w:t>
      </w:r>
      <w:r w:rsidR="001950AD">
        <w:rPr>
          <w:rFonts w:ascii="Arial" w:eastAsia="Calibri" w:hAnsi="Arial" w:cs="Arial"/>
          <w:szCs w:val="24"/>
        </w:rPr>
        <w:t>concerning</w:t>
      </w:r>
      <w:r w:rsidRPr="00A96637">
        <w:rPr>
          <w:rFonts w:ascii="Arial" w:eastAsia="Calibri" w:hAnsi="Arial" w:cs="Arial"/>
          <w:szCs w:val="24"/>
        </w:rPr>
        <w:t xml:space="preserve"> algorithmic explainability, as per available guidance from the Information Commissioner’s Office guidance.</w:t>
      </w:r>
    </w:p>
    <w:p w14:paraId="09E9A483" w14:textId="77777777" w:rsidR="006B1C3F" w:rsidRPr="006B1C3F" w:rsidRDefault="006B1C3F" w:rsidP="00364811">
      <w:pPr>
        <w:pStyle w:val="ListParagraph"/>
        <w:spacing w:line="257" w:lineRule="auto"/>
        <w:rPr>
          <w:rFonts w:ascii="Arial" w:eastAsia="Calibri" w:hAnsi="Arial" w:cs="Arial"/>
          <w:sz w:val="24"/>
          <w:szCs w:val="24"/>
        </w:rPr>
      </w:pPr>
    </w:p>
    <w:p w14:paraId="5A5C1C1F" w14:textId="77777777" w:rsidR="002C1ADE" w:rsidRPr="006B1C3F" w:rsidRDefault="002C1ADE" w:rsidP="009D1A2A">
      <w:pPr>
        <w:pStyle w:val="ListParagraph"/>
        <w:numPr>
          <w:ilvl w:val="0"/>
          <w:numId w:val="22"/>
        </w:numPr>
        <w:spacing w:line="257" w:lineRule="auto"/>
        <w:rPr>
          <w:rFonts w:ascii="Arial" w:eastAsia="Calibri" w:hAnsi="Arial" w:cs="Arial"/>
          <w:b/>
          <w:bCs/>
          <w:sz w:val="24"/>
          <w:szCs w:val="24"/>
        </w:rPr>
      </w:pPr>
      <w:r w:rsidRPr="006B1C3F">
        <w:rPr>
          <w:rFonts w:ascii="Arial" w:eastAsia="Calibri" w:hAnsi="Arial" w:cs="Arial"/>
          <w:b/>
          <w:bCs/>
          <w:sz w:val="24"/>
          <w:szCs w:val="24"/>
        </w:rPr>
        <w:t xml:space="preserve">Accurate Data Representation Principle </w:t>
      </w:r>
    </w:p>
    <w:p w14:paraId="1AAFB392" w14:textId="77777777" w:rsidR="002C1ADE" w:rsidRPr="00A96637" w:rsidRDefault="002C1ADE" w:rsidP="00A96637">
      <w:pPr>
        <w:ind w:left="360"/>
        <w:rPr>
          <w:rFonts w:ascii="Arial" w:hAnsi="Arial" w:cs="Arial"/>
          <w:szCs w:val="24"/>
        </w:rPr>
      </w:pPr>
      <w:r w:rsidRPr="00A96637">
        <w:rPr>
          <w:rFonts w:ascii="Arial" w:hAnsi="Arial" w:cs="Arial"/>
          <w:szCs w:val="24"/>
        </w:rPr>
        <w:t>The ‘Find Case Law’ service comprises an incomplete set of court judgments and tribunal decisions. We advise The National Archives to remind re-users that outcomes from analysis should therefore reflect the limitations of the data and avoid misrepresenting the significance of findings.</w:t>
      </w:r>
    </w:p>
    <w:p w14:paraId="7473BB55" w14:textId="77777777" w:rsidR="005E61A2" w:rsidRPr="009D1A2A" w:rsidRDefault="005E61A2" w:rsidP="009D1A2A">
      <w:pPr>
        <w:pStyle w:val="ListParagraph"/>
        <w:rPr>
          <w:rFonts w:ascii="Arial" w:hAnsi="Arial" w:cs="Arial"/>
          <w:szCs w:val="24"/>
        </w:rPr>
      </w:pPr>
    </w:p>
    <w:p w14:paraId="16C2DCF1" w14:textId="071F6502" w:rsidR="002C1ADE" w:rsidRPr="002C1ADE" w:rsidRDefault="002C1ADE" w:rsidP="002C1ADE">
      <w:pPr>
        <w:pStyle w:val="EmphasisHeading"/>
        <w:rPr>
          <w:b w:val="0"/>
          <w:bCs/>
          <w:color w:val="auto"/>
        </w:rPr>
      </w:pPr>
      <w:r w:rsidRPr="002C1ADE">
        <w:rPr>
          <w:b w:val="0"/>
          <w:bCs/>
          <w:color w:val="auto"/>
        </w:rPr>
        <w:lastRenderedPageBreak/>
        <w:t>Where The National Archives feels an application may contravene one of the above principles, we encourage them to decline the application and provide appropriate rationale</w:t>
      </w:r>
      <w:r w:rsidR="00AC415E">
        <w:rPr>
          <w:b w:val="0"/>
          <w:bCs/>
          <w:color w:val="auto"/>
        </w:rPr>
        <w:t xml:space="preserve"> to the re-user</w:t>
      </w:r>
      <w:r w:rsidRPr="002C1ADE">
        <w:rPr>
          <w:b w:val="0"/>
          <w:bCs/>
          <w:color w:val="auto"/>
        </w:rPr>
        <w:t xml:space="preserve"> or, alternatively, to consult MoJ </w:t>
      </w:r>
      <w:r w:rsidR="00A11FE2">
        <w:rPr>
          <w:b w:val="0"/>
          <w:bCs/>
          <w:color w:val="auto"/>
        </w:rPr>
        <w:t>for further advice</w:t>
      </w:r>
      <w:r w:rsidRPr="002C1ADE">
        <w:rPr>
          <w:b w:val="0"/>
          <w:bCs/>
          <w:color w:val="auto"/>
        </w:rPr>
        <w:t xml:space="preserve"> in order to support their decision. </w:t>
      </w:r>
    </w:p>
    <w:p w14:paraId="09F6DAE1" w14:textId="3A6EC2F7" w:rsidR="002C1ADE" w:rsidRPr="002C1ADE" w:rsidRDefault="002C1ADE" w:rsidP="002C1ADE">
      <w:pPr>
        <w:pStyle w:val="EmphasisHeading"/>
        <w:rPr>
          <w:b w:val="0"/>
          <w:bCs/>
          <w:color w:val="auto"/>
        </w:rPr>
      </w:pPr>
      <w:r w:rsidRPr="002C1ADE">
        <w:rPr>
          <w:b w:val="0"/>
          <w:bCs/>
          <w:color w:val="auto"/>
        </w:rPr>
        <w:t xml:space="preserve">Moreover, we advise The National Archives to clarify that any use of Find Case Law </w:t>
      </w:r>
      <w:r w:rsidR="00B647DA">
        <w:rPr>
          <w:b w:val="0"/>
          <w:bCs/>
          <w:color w:val="auto"/>
        </w:rPr>
        <w:t>judgments</w:t>
      </w:r>
      <w:r w:rsidRPr="002C1ADE">
        <w:rPr>
          <w:b w:val="0"/>
          <w:bCs/>
          <w:color w:val="auto"/>
        </w:rPr>
        <w:t xml:space="preserve"> for the fulfilment or partial fulfilment of ‘reserved activities’, as defined under the Legal Services Act 2007</w:t>
      </w:r>
      <w:r w:rsidR="00B07DC6">
        <w:rPr>
          <w:b w:val="0"/>
          <w:bCs/>
          <w:color w:val="auto"/>
        </w:rPr>
        <w:t xml:space="preserve"> in the UK</w:t>
      </w:r>
      <w:r w:rsidRPr="002C1ADE">
        <w:rPr>
          <w:b w:val="0"/>
          <w:bCs/>
          <w:color w:val="auto"/>
        </w:rPr>
        <w:t>, must come with the relevant regulator approval separate to the transactional licence.</w:t>
      </w:r>
    </w:p>
    <w:p w14:paraId="7D181111" w14:textId="77777777" w:rsidR="002E42EE" w:rsidRDefault="002E42EE" w:rsidP="002E42EE">
      <w:pPr>
        <w:rPr>
          <w:rFonts w:ascii="Arial" w:hAnsi="Arial" w:cs="Arial"/>
          <w:b/>
          <w:bCs/>
          <w:sz w:val="32"/>
          <w:szCs w:val="32"/>
        </w:rPr>
        <w:sectPr w:rsidR="002E42EE" w:rsidSect="00F507D8">
          <w:headerReference w:type="default" r:id="rId12"/>
          <w:footerReference w:type="default" r:id="rId13"/>
          <w:headerReference w:type="first" r:id="rId14"/>
          <w:footerReference w:type="first" r:id="rId15"/>
          <w:pgSz w:w="11906" w:h="16838" w:code="9"/>
          <w:pgMar w:top="1134" w:right="1134" w:bottom="1134" w:left="1134" w:header="567" w:footer="567" w:gutter="0"/>
          <w:pgNumType w:start="1"/>
          <w:cols w:space="708"/>
          <w:titlePg/>
          <w:docGrid w:linePitch="360"/>
        </w:sectPr>
      </w:pPr>
    </w:p>
    <w:p w14:paraId="796BC97E" w14:textId="77777777" w:rsidR="002E42EE" w:rsidRDefault="002E42EE" w:rsidP="002659E4">
      <w:pPr>
        <w:pStyle w:val="BodyText"/>
        <w:sectPr w:rsidR="002E42EE" w:rsidSect="002E42EE">
          <w:type w:val="continuous"/>
          <w:pgSz w:w="11906" w:h="16838" w:code="9"/>
          <w:pgMar w:top="1134" w:right="1134" w:bottom="1134" w:left="1134" w:header="567" w:footer="567" w:gutter="0"/>
          <w:pgNumType w:start="1"/>
          <w:cols w:space="708"/>
          <w:titlePg/>
          <w:docGrid w:linePitch="360"/>
        </w:sectPr>
      </w:pPr>
    </w:p>
    <w:p w14:paraId="6A435928" w14:textId="685493A0" w:rsidR="002E42EE" w:rsidRDefault="002E42EE" w:rsidP="002E42EE">
      <w:pPr>
        <w:rPr>
          <w:rFonts w:ascii="Arial" w:hAnsi="Arial" w:cs="Arial"/>
          <w:b/>
          <w:bCs/>
          <w:sz w:val="32"/>
          <w:szCs w:val="32"/>
        </w:rPr>
        <w:sectPr w:rsidR="002E42EE" w:rsidSect="002E42EE">
          <w:type w:val="continuous"/>
          <w:pgSz w:w="11906" w:h="16838" w:code="9"/>
          <w:pgMar w:top="1134" w:right="1134" w:bottom="1134" w:left="1134" w:header="567" w:footer="567" w:gutter="0"/>
          <w:pgNumType w:start="1"/>
          <w:cols w:space="708"/>
          <w:titlePg/>
          <w:docGrid w:linePitch="360"/>
        </w:sectPr>
      </w:pPr>
    </w:p>
    <w:p w14:paraId="7CC942BA" w14:textId="77777777" w:rsidR="002E42EE" w:rsidRDefault="002E42EE" w:rsidP="002E42EE">
      <w:pPr>
        <w:rPr>
          <w:rFonts w:ascii="Arial" w:hAnsi="Arial" w:cs="Arial"/>
          <w:b/>
          <w:bCs/>
          <w:sz w:val="32"/>
          <w:szCs w:val="32"/>
        </w:rPr>
        <w:sectPr w:rsidR="002E42EE" w:rsidSect="002E42EE">
          <w:type w:val="continuous"/>
          <w:pgSz w:w="11906" w:h="16838" w:code="9"/>
          <w:pgMar w:top="1134" w:right="1134" w:bottom="1134" w:left="1134" w:header="567" w:footer="567" w:gutter="0"/>
          <w:pgNumType w:start="1"/>
          <w:cols w:space="708"/>
          <w:titlePg/>
          <w:docGrid w:linePitch="360"/>
        </w:sectPr>
      </w:pPr>
    </w:p>
    <w:p w14:paraId="578EB618" w14:textId="77777777" w:rsidR="002E42EE" w:rsidRDefault="002E42EE" w:rsidP="002E42EE">
      <w:pPr>
        <w:rPr>
          <w:rFonts w:ascii="Arial" w:hAnsi="Arial" w:cs="Arial"/>
          <w:b/>
          <w:bCs/>
          <w:sz w:val="32"/>
          <w:szCs w:val="32"/>
        </w:rPr>
      </w:pPr>
    </w:p>
    <w:p w14:paraId="45CEB6FE" w14:textId="77777777" w:rsidR="002E42EE" w:rsidRDefault="002E42EE" w:rsidP="002E42EE">
      <w:pPr>
        <w:rPr>
          <w:rFonts w:ascii="Arial" w:hAnsi="Arial" w:cs="Arial"/>
          <w:b/>
          <w:bCs/>
          <w:sz w:val="32"/>
          <w:szCs w:val="32"/>
        </w:rPr>
      </w:pPr>
    </w:p>
    <w:p w14:paraId="419AEAD6" w14:textId="77777777" w:rsidR="002E42EE" w:rsidRDefault="002E42EE" w:rsidP="002E42EE">
      <w:pPr>
        <w:rPr>
          <w:rFonts w:ascii="Arial" w:hAnsi="Arial" w:cs="Arial"/>
          <w:b/>
          <w:bCs/>
          <w:sz w:val="32"/>
          <w:szCs w:val="32"/>
        </w:rPr>
      </w:pPr>
    </w:p>
    <w:p w14:paraId="4F369B9B" w14:textId="77777777" w:rsidR="002E42EE" w:rsidRDefault="002E42EE" w:rsidP="002E42EE">
      <w:pPr>
        <w:rPr>
          <w:rFonts w:ascii="Arial" w:hAnsi="Arial" w:cs="Arial"/>
          <w:b/>
          <w:bCs/>
          <w:sz w:val="32"/>
          <w:szCs w:val="32"/>
        </w:rPr>
      </w:pPr>
    </w:p>
    <w:p w14:paraId="151958A0" w14:textId="28E118E0" w:rsidR="002E42EE" w:rsidRPr="002E42EE" w:rsidRDefault="002E42EE" w:rsidP="002E42EE">
      <w:pPr>
        <w:rPr>
          <w:rFonts w:ascii="Arial" w:hAnsi="Arial" w:cs="Arial"/>
          <w:b/>
          <w:bCs/>
          <w:sz w:val="32"/>
          <w:szCs w:val="32"/>
        </w:rPr>
      </w:pPr>
      <w:r w:rsidRPr="002E42EE">
        <w:rPr>
          <w:rFonts w:ascii="Arial" w:hAnsi="Arial" w:cs="Arial"/>
          <w:b/>
          <w:bCs/>
          <w:sz w:val="32"/>
          <w:szCs w:val="32"/>
        </w:rPr>
        <w:t xml:space="preserve">Annex </w:t>
      </w:r>
      <w:r w:rsidR="00117EEB">
        <w:rPr>
          <w:rFonts w:ascii="Arial" w:hAnsi="Arial" w:cs="Arial"/>
          <w:b/>
          <w:bCs/>
          <w:sz w:val="32"/>
          <w:szCs w:val="32"/>
        </w:rPr>
        <w:t>A</w:t>
      </w:r>
      <w:r>
        <w:rPr>
          <w:rFonts w:ascii="Arial" w:hAnsi="Arial" w:cs="Arial"/>
          <w:b/>
          <w:bCs/>
          <w:sz w:val="32"/>
          <w:szCs w:val="32"/>
        </w:rPr>
        <w:t>: High-risk re-uses</w:t>
      </w:r>
    </w:p>
    <w:p w14:paraId="3AC6FB3F" w14:textId="113FE5C4" w:rsidR="002E42EE" w:rsidRPr="002E42EE" w:rsidRDefault="002E42EE" w:rsidP="002E42EE">
      <w:pPr>
        <w:rPr>
          <w:rFonts w:ascii="Arial" w:hAnsi="Arial" w:cs="Arial"/>
          <w:szCs w:val="24"/>
        </w:rPr>
      </w:pPr>
      <w:r w:rsidRPr="002E42EE">
        <w:rPr>
          <w:rFonts w:ascii="Arial" w:hAnsi="Arial" w:cs="Arial"/>
          <w:szCs w:val="24"/>
        </w:rPr>
        <w:t xml:space="preserve">For the </w:t>
      </w:r>
      <w:r w:rsidR="00155600">
        <w:rPr>
          <w:rFonts w:ascii="Arial" w:hAnsi="Arial" w:cs="Arial"/>
          <w:szCs w:val="24"/>
        </w:rPr>
        <w:t>re-uses deemed high-risk</w:t>
      </w:r>
      <w:r w:rsidRPr="002E42EE">
        <w:rPr>
          <w:rFonts w:ascii="Arial" w:hAnsi="Arial" w:cs="Arial"/>
          <w:szCs w:val="24"/>
        </w:rPr>
        <w:t xml:space="preserve"> which otherwise align with the above principles and meet the ‘five safes’ criteria, we recommend a licence category for research and development purposes only. </w:t>
      </w:r>
    </w:p>
    <w:p w14:paraId="7EA17454" w14:textId="77777777" w:rsidR="002E42EE" w:rsidRPr="002E42EE" w:rsidRDefault="002E42EE" w:rsidP="002E42EE">
      <w:pPr>
        <w:rPr>
          <w:rFonts w:ascii="Arial" w:hAnsi="Arial" w:cs="Arial"/>
          <w:szCs w:val="24"/>
        </w:rPr>
      </w:pPr>
      <w:r w:rsidRPr="002E42EE">
        <w:rPr>
          <w:rFonts w:ascii="Arial" w:hAnsi="Arial" w:cs="Arial"/>
          <w:szCs w:val="24"/>
        </w:rPr>
        <w:t>We intend this category of licence to prevent re-users from analysing court judgments and tribunal decisions for use with consumers or other third parties while still permitting the development of a proof of concept using machine-readable judgments.</w:t>
      </w:r>
    </w:p>
    <w:p w14:paraId="12F8AF8F" w14:textId="77777777" w:rsidR="002E42EE" w:rsidRPr="002E42EE" w:rsidRDefault="002E42EE" w:rsidP="002E42EE">
      <w:pPr>
        <w:rPr>
          <w:rFonts w:ascii="Arial" w:hAnsi="Arial" w:cs="Arial"/>
          <w:szCs w:val="24"/>
        </w:rPr>
      </w:pPr>
      <w:r w:rsidRPr="002E42EE">
        <w:rPr>
          <w:rFonts w:ascii="Arial" w:hAnsi="Arial" w:cs="Arial"/>
          <w:szCs w:val="24"/>
        </w:rPr>
        <w:t>However, we advise The National Archives to make it clear to applicants that the granting of an R&amp;D licence does not necessarily indicate likelihood of a future successful application for a full licence.</w:t>
      </w:r>
    </w:p>
    <w:p w14:paraId="6973A9EF" w14:textId="77777777" w:rsidR="002E42EE" w:rsidRPr="002E42EE" w:rsidRDefault="002E42EE" w:rsidP="002E42EE">
      <w:pPr>
        <w:rPr>
          <w:rFonts w:ascii="Arial" w:hAnsi="Arial" w:cs="Arial"/>
          <w:szCs w:val="24"/>
        </w:rPr>
      </w:pPr>
      <w:r w:rsidRPr="002E42EE">
        <w:rPr>
          <w:rFonts w:ascii="Arial" w:hAnsi="Arial" w:cs="Arial"/>
          <w:szCs w:val="24"/>
        </w:rPr>
        <w:t xml:space="preserve">The following uses are currently considered </w:t>
      </w:r>
      <w:r w:rsidRPr="002E42EE">
        <w:rPr>
          <w:rFonts w:ascii="Arial" w:hAnsi="Arial" w:cs="Arial"/>
          <w:b/>
          <w:bCs/>
          <w:szCs w:val="24"/>
          <w:u w:val="single"/>
        </w:rPr>
        <w:t>high-risk</w:t>
      </w:r>
      <w:r w:rsidRPr="002E42EE">
        <w:rPr>
          <w:rFonts w:ascii="Arial" w:hAnsi="Arial" w:cs="Arial"/>
          <w:szCs w:val="24"/>
        </w:rPr>
        <w:t>:</w:t>
      </w:r>
    </w:p>
    <w:p w14:paraId="154B1D61" w14:textId="77777777" w:rsidR="002E42EE" w:rsidRPr="002E42EE" w:rsidRDefault="002E42EE" w:rsidP="002E42EE">
      <w:pPr>
        <w:pStyle w:val="ListParagraph"/>
        <w:numPr>
          <w:ilvl w:val="0"/>
          <w:numId w:val="18"/>
        </w:numPr>
        <w:rPr>
          <w:rFonts w:ascii="Arial" w:eastAsia="Calibri" w:hAnsi="Arial" w:cs="Arial"/>
          <w:sz w:val="24"/>
          <w:szCs w:val="24"/>
        </w:rPr>
      </w:pPr>
      <w:r w:rsidRPr="002E42EE">
        <w:rPr>
          <w:rFonts w:ascii="Arial" w:hAnsi="Arial" w:cs="Arial"/>
          <w:sz w:val="24"/>
          <w:szCs w:val="24"/>
        </w:rPr>
        <w:t xml:space="preserve">Computational analysis of judgments </w:t>
      </w:r>
      <w:r w:rsidRPr="002E42EE">
        <w:rPr>
          <w:rFonts w:ascii="Arial" w:eastAsia="Calibri" w:hAnsi="Arial" w:cs="Arial"/>
          <w:sz w:val="24"/>
          <w:szCs w:val="24"/>
        </w:rPr>
        <w:t>in order to:</w:t>
      </w:r>
    </w:p>
    <w:p w14:paraId="7DB2C6C2" w14:textId="77777777" w:rsidR="002E42EE" w:rsidRPr="002E42EE" w:rsidRDefault="002E42EE" w:rsidP="002E42EE">
      <w:pPr>
        <w:pStyle w:val="ListParagraph"/>
        <w:numPr>
          <w:ilvl w:val="0"/>
          <w:numId w:val="19"/>
        </w:numPr>
        <w:rPr>
          <w:rFonts w:ascii="Arial" w:eastAsia="Calibri" w:hAnsi="Arial" w:cs="Arial"/>
          <w:sz w:val="24"/>
          <w:szCs w:val="24"/>
        </w:rPr>
      </w:pPr>
      <w:r w:rsidRPr="002E42EE">
        <w:rPr>
          <w:rFonts w:ascii="Arial" w:eastAsia="Calibri" w:hAnsi="Arial" w:cs="Arial"/>
          <w:sz w:val="24"/>
          <w:szCs w:val="24"/>
        </w:rPr>
        <w:t>produce fully-automated legal advice; or</w:t>
      </w:r>
    </w:p>
    <w:p w14:paraId="4E800D57" w14:textId="77777777" w:rsidR="002E42EE" w:rsidRPr="002E42EE" w:rsidRDefault="002E42EE" w:rsidP="002E42EE">
      <w:pPr>
        <w:pStyle w:val="ListParagraph"/>
        <w:numPr>
          <w:ilvl w:val="0"/>
          <w:numId w:val="19"/>
        </w:numPr>
        <w:rPr>
          <w:rFonts w:ascii="Arial" w:eastAsia="Calibri" w:hAnsi="Arial" w:cs="Arial"/>
          <w:sz w:val="24"/>
          <w:szCs w:val="24"/>
        </w:rPr>
      </w:pPr>
      <w:r w:rsidRPr="002E42EE">
        <w:rPr>
          <w:rFonts w:ascii="Arial" w:eastAsia="Calibri" w:hAnsi="Arial" w:cs="Arial"/>
          <w:sz w:val="24"/>
          <w:szCs w:val="24"/>
        </w:rPr>
        <w:t>perform automation to anticipate legal decisions directly for a client or consumer,* such as tools which set expectations for case outcomes through modelling or predictive analytics; or</w:t>
      </w:r>
    </w:p>
    <w:p w14:paraId="218CAF07" w14:textId="77777777" w:rsidR="002E42EE" w:rsidRPr="002E42EE" w:rsidRDefault="002E42EE" w:rsidP="002E42EE">
      <w:pPr>
        <w:pStyle w:val="ListParagraph"/>
        <w:numPr>
          <w:ilvl w:val="0"/>
          <w:numId w:val="19"/>
        </w:numPr>
        <w:rPr>
          <w:rFonts w:ascii="Arial" w:eastAsia="Calibri" w:hAnsi="Arial" w:cs="Arial"/>
          <w:sz w:val="24"/>
          <w:szCs w:val="24"/>
        </w:rPr>
      </w:pPr>
      <w:r w:rsidRPr="002E42EE">
        <w:rPr>
          <w:rFonts w:ascii="Arial" w:eastAsia="Calibri" w:hAnsi="Arial" w:cs="Arial"/>
          <w:sz w:val="24"/>
          <w:szCs w:val="24"/>
        </w:rPr>
        <w:t>otherwise directly inform or influence the decision of a third-party whether or not to pursue justice or legal action.</w:t>
      </w:r>
    </w:p>
    <w:p w14:paraId="2D237304" w14:textId="77777777" w:rsidR="002E42EE" w:rsidRPr="002E42EE" w:rsidRDefault="002E42EE" w:rsidP="002E42EE">
      <w:pPr>
        <w:ind w:left="720"/>
        <w:rPr>
          <w:rFonts w:ascii="Arial" w:eastAsia="Calibri" w:hAnsi="Arial" w:cs="Arial"/>
          <w:szCs w:val="24"/>
        </w:rPr>
      </w:pPr>
      <w:r w:rsidRPr="002E42EE">
        <w:rPr>
          <w:rFonts w:ascii="Arial" w:eastAsia="Calibri" w:hAnsi="Arial" w:cs="Arial"/>
          <w:b/>
          <w:bCs/>
          <w:i/>
          <w:iCs/>
          <w:szCs w:val="24"/>
        </w:rPr>
        <w:t>On the grounds that</w:t>
      </w:r>
      <w:r w:rsidRPr="002E42EE">
        <w:rPr>
          <w:rFonts w:ascii="Arial" w:eastAsia="Calibri" w:hAnsi="Arial" w:cs="Arial"/>
          <w:szCs w:val="24"/>
        </w:rPr>
        <w:t xml:space="preserve"> there is not yet a mature AI assurance ecosystem to provide the necessary certification that such algorithms would be reasonably safe and accurate. </w:t>
      </w:r>
    </w:p>
    <w:p w14:paraId="44002144" w14:textId="444A07ED" w:rsidR="002E42EE" w:rsidRPr="002E42EE" w:rsidRDefault="002E42EE" w:rsidP="002E42EE">
      <w:pPr>
        <w:ind w:left="720"/>
        <w:rPr>
          <w:rFonts w:ascii="Arial" w:eastAsia="Calibri" w:hAnsi="Arial" w:cs="Arial"/>
          <w:szCs w:val="24"/>
        </w:rPr>
      </w:pPr>
      <w:r w:rsidRPr="002E42EE">
        <w:rPr>
          <w:rFonts w:ascii="Arial" w:eastAsia="Calibri" w:hAnsi="Arial" w:cs="Arial"/>
          <w:szCs w:val="24"/>
        </w:rPr>
        <w:t>*</w:t>
      </w:r>
      <w:r>
        <w:rPr>
          <w:rFonts w:ascii="Arial" w:eastAsia="Calibri" w:hAnsi="Arial" w:cs="Arial"/>
          <w:szCs w:val="24"/>
        </w:rPr>
        <w:t xml:space="preserve"> </w:t>
      </w:r>
      <w:r w:rsidRPr="002E42EE">
        <w:rPr>
          <w:rFonts w:ascii="Arial" w:eastAsia="Calibri" w:hAnsi="Arial" w:cs="Arial"/>
          <w:szCs w:val="24"/>
        </w:rPr>
        <w:t xml:space="preserve">A distinction should be made for the use of artificial intelligence techniques for administrative and research purposes by a legal professional in the act of preparing legal advice. Such activities should be permitted where the ‘human-in-the-loop’ is a </w:t>
      </w:r>
      <w:r w:rsidR="007C2164">
        <w:rPr>
          <w:rFonts w:ascii="Arial" w:eastAsia="Calibri" w:hAnsi="Arial" w:cs="Arial"/>
          <w:szCs w:val="24"/>
        </w:rPr>
        <w:t xml:space="preserve">regulated </w:t>
      </w:r>
      <w:r w:rsidRPr="002E42EE">
        <w:rPr>
          <w:rFonts w:ascii="Arial" w:eastAsia="Calibri" w:hAnsi="Arial" w:cs="Arial"/>
          <w:szCs w:val="24"/>
        </w:rPr>
        <w:t xml:space="preserve">legal professional giving due consideration to the possible inaccuracy and bias within opaque algorithms, and where it is used responsibly as part of a wider expert process at their own professional risk. </w:t>
      </w:r>
    </w:p>
    <w:p w14:paraId="2D2F92A4" w14:textId="5A998DA0" w:rsidR="002E42EE" w:rsidRPr="002E42EE" w:rsidRDefault="002E42EE" w:rsidP="002E42EE">
      <w:pPr>
        <w:rPr>
          <w:rFonts w:ascii="Arial" w:eastAsia="Calibri" w:hAnsi="Arial" w:cs="Arial"/>
          <w:szCs w:val="24"/>
        </w:rPr>
      </w:pPr>
      <w:r w:rsidRPr="002E42EE">
        <w:rPr>
          <w:rFonts w:ascii="Arial" w:eastAsia="Calibri" w:hAnsi="Arial" w:cs="Arial"/>
          <w:b/>
          <w:bCs/>
          <w:szCs w:val="24"/>
        </w:rPr>
        <w:t>MoJ reserves the right to amend, add to or remove from the list of high-risk or prohibited activities in light of future developments and evidence.</w:t>
      </w:r>
      <w:r w:rsidRPr="002E42EE">
        <w:rPr>
          <w:rFonts w:ascii="Arial" w:hAnsi="Arial" w:cs="Arial"/>
          <w:szCs w:val="24"/>
        </w:rPr>
        <w:t xml:space="preserve"> </w:t>
      </w:r>
    </w:p>
    <w:sectPr w:rsidR="002E42EE" w:rsidRPr="002E42EE" w:rsidSect="002E42EE">
      <w:pgSz w:w="11906" w:h="16838" w:code="9"/>
      <w:pgMar w:top="1134" w:right="1134" w:bottom="1134"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B320E" w14:textId="77777777" w:rsidR="00A47640" w:rsidRDefault="00A47640" w:rsidP="00B91315">
      <w:pPr>
        <w:spacing w:after="0" w:line="240" w:lineRule="auto"/>
      </w:pPr>
      <w:r>
        <w:separator/>
      </w:r>
    </w:p>
  </w:endnote>
  <w:endnote w:type="continuationSeparator" w:id="0">
    <w:p w14:paraId="21AEB36F" w14:textId="77777777" w:rsidR="00A47640" w:rsidRDefault="00A47640" w:rsidP="00B91315">
      <w:pPr>
        <w:spacing w:after="0" w:line="240" w:lineRule="auto"/>
      </w:pPr>
      <w:r>
        <w:continuationSeparator/>
      </w:r>
    </w:p>
  </w:endnote>
  <w:endnote w:type="continuationNotice" w:id="1">
    <w:p w14:paraId="4A27661C" w14:textId="77777777" w:rsidR="00A47640" w:rsidRDefault="00A476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01A70" w14:textId="77777777" w:rsidR="009A1CE1" w:rsidRDefault="00990242">
    <w:pPr>
      <w:pStyle w:val="Footer"/>
    </w:pPr>
    <w:r>
      <w:fldChar w:fldCharType="begin"/>
    </w:r>
    <w:r>
      <w:instrText xml:space="preserve"> PAGE   \* MERGEFORMAT </w:instrText>
    </w:r>
    <w:r>
      <w:fldChar w:fldCharType="separate"/>
    </w:r>
    <w:r w:rsidR="0028397F">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A1AC" w14:textId="77777777" w:rsidR="002659E4" w:rsidRDefault="002659E4" w:rsidP="002659E4">
    <w:pPr>
      <w:pStyle w:val="Footer"/>
      <w:spacing w:before="8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FD38B" w14:textId="77777777" w:rsidR="00A47640" w:rsidRDefault="00A47640" w:rsidP="00B91315">
      <w:pPr>
        <w:spacing w:after="0" w:line="240" w:lineRule="auto"/>
      </w:pPr>
      <w:r>
        <w:separator/>
      </w:r>
    </w:p>
  </w:footnote>
  <w:footnote w:type="continuationSeparator" w:id="0">
    <w:p w14:paraId="56DD855C" w14:textId="77777777" w:rsidR="00A47640" w:rsidRDefault="00A47640" w:rsidP="00B91315">
      <w:pPr>
        <w:spacing w:after="0" w:line="240" w:lineRule="auto"/>
      </w:pPr>
      <w:r>
        <w:continuationSeparator/>
      </w:r>
    </w:p>
  </w:footnote>
  <w:footnote w:type="continuationNotice" w:id="1">
    <w:p w14:paraId="6378EFF9" w14:textId="77777777" w:rsidR="00A47640" w:rsidRDefault="00A47640">
      <w:pPr>
        <w:spacing w:after="0" w:line="240" w:lineRule="auto"/>
      </w:pPr>
    </w:p>
  </w:footnote>
  <w:footnote w:id="2">
    <w:p w14:paraId="6E73FC80" w14:textId="2FF84E53" w:rsidR="002C1ADE" w:rsidRPr="00A65BEC" w:rsidRDefault="002C1ADE" w:rsidP="002B08D4">
      <w:pPr>
        <w:pStyle w:val="FootnoteText"/>
        <w:ind w:hanging="142"/>
        <w:rPr>
          <w:rFonts w:ascii="Arial" w:hAnsi="Arial" w:cs="Arial"/>
        </w:rPr>
      </w:pPr>
      <w:r w:rsidRPr="00A65BEC">
        <w:rPr>
          <w:rStyle w:val="FootnoteReference"/>
          <w:rFonts w:ascii="Arial" w:hAnsi="Arial" w:cs="Arial"/>
          <w:sz w:val="18"/>
          <w:szCs w:val="18"/>
        </w:rPr>
        <w:footnoteRef/>
      </w:r>
      <w:r w:rsidRPr="00A65BEC">
        <w:rPr>
          <w:rFonts w:ascii="Arial" w:hAnsi="Arial" w:cs="Arial"/>
          <w:sz w:val="18"/>
          <w:szCs w:val="18"/>
        </w:rPr>
        <w:t xml:space="preserve"> </w:t>
      </w:r>
      <w:r w:rsidR="003967E8">
        <w:rPr>
          <w:rFonts w:ascii="Arial" w:hAnsi="Arial" w:cs="Arial"/>
          <w:sz w:val="18"/>
          <w:szCs w:val="18"/>
        </w:rPr>
        <w:t>It follows that o</w:t>
      </w:r>
      <w:r w:rsidRPr="00A65BEC">
        <w:rPr>
          <w:rFonts w:ascii="Arial" w:hAnsi="Arial" w:cs="Arial"/>
          <w:sz w:val="18"/>
          <w:szCs w:val="18"/>
        </w:rPr>
        <w:t>utputs must not identify named individuals or identifiable groupings. Licensed re-users should be reminded of their</w:t>
      </w:r>
      <w:r w:rsidR="002B08D4">
        <w:rPr>
          <w:rFonts w:ascii="Arial" w:hAnsi="Arial" w:cs="Arial"/>
          <w:sz w:val="18"/>
          <w:szCs w:val="18"/>
        </w:rPr>
        <w:t xml:space="preserve"> </w:t>
      </w:r>
      <w:r w:rsidRPr="00A65BEC">
        <w:rPr>
          <w:rFonts w:ascii="Arial" w:hAnsi="Arial" w:cs="Arial"/>
          <w:sz w:val="18"/>
          <w:szCs w:val="18"/>
        </w:rPr>
        <w:t>responsibilities as data controller. It is for the re-user to put in appropriate safeguards and provisions that respect the data subjects’ rights.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48CCA" w14:textId="7938EAAE" w:rsidR="009A1CE1" w:rsidRPr="00C74584" w:rsidRDefault="00C74584" w:rsidP="00C74584">
    <w:pPr>
      <w:pStyle w:val="Header"/>
    </w:pPr>
    <w:r w:rsidRPr="00C74584">
      <w:t>Guidance on application decisions for the transactional licence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BB646" w14:textId="77777777" w:rsidR="00F507D8" w:rsidRDefault="0028397F">
    <w:pPr>
      <w:pStyle w:val="Header"/>
    </w:pPr>
    <w:r w:rsidRPr="006D258B">
      <w:rPr>
        <w:noProof/>
      </w:rPr>
      <w:drawing>
        <wp:anchor distT="0" distB="0" distL="114300" distR="114300" simplePos="0" relativeHeight="251658241" behindDoc="1" locked="0" layoutInCell="0" allowOverlap="1" wp14:anchorId="120D1332" wp14:editId="0E4C21E7">
          <wp:simplePos x="0" y="0"/>
          <wp:positionH relativeFrom="page">
            <wp:posOffset>720090</wp:posOffset>
          </wp:positionH>
          <wp:positionV relativeFrom="page">
            <wp:posOffset>720090</wp:posOffset>
          </wp:positionV>
          <wp:extent cx="1331640" cy="1033920"/>
          <wp:effectExtent l="0" t="0" r="190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31640" cy="10339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736D81D4" wp14:editId="4B1AAA76">
          <wp:simplePos x="723900" y="361950"/>
          <wp:positionH relativeFrom="page">
            <wp:align>left</wp:align>
          </wp:positionH>
          <wp:positionV relativeFrom="page">
            <wp:align>top</wp:align>
          </wp:positionV>
          <wp:extent cx="7560360" cy="10692360"/>
          <wp:effectExtent l="0" t="0" r="254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hogben\AppData\Local\Microsoft\Windows\INetCache\Content.Word\6.5394_MoJ_Brand refresh_covers_210319_RW-17.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60" cy="106923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130F6F8"/>
    <w:lvl w:ilvl="0">
      <w:start w:val="1"/>
      <w:numFmt w:val="bullet"/>
      <w:pStyle w:val="ListBullet2"/>
      <w:lvlText w:val=""/>
      <w:lvlJc w:val="left"/>
      <w:pPr>
        <w:ind w:left="717" w:hanging="360"/>
      </w:pPr>
      <w:rPr>
        <w:rFonts w:ascii="Symbol" w:hAnsi="Symbol" w:hint="default"/>
        <w:color w:val="00B1EB"/>
      </w:rPr>
    </w:lvl>
  </w:abstractNum>
  <w:abstractNum w:abstractNumId="1" w15:restartNumberingAfterBreak="0">
    <w:nsid w:val="FFFFFF88"/>
    <w:multiLevelType w:val="singleLevel"/>
    <w:tmpl w:val="4CB2C802"/>
    <w:lvl w:ilvl="0">
      <w:start w:val="1"/>
      <w:numFmt w:val="decimal"/>
      <w:pStyle w:val="ListNumber"/>
      <w:lvlText w:val="%1."/>
      <w:lvlJc w:val="left"/>
      <w:pPr>
        <w:tabs>
          <w:tab w:val="num" w:pos="360"/>
        </w:tabs>
        <w:ind w:left="360" w:hanging="360"/>
      </w:pPr>
      <w:rPr>
        <w:rFonts w:hint="default"/>
      </w:rPr>
    </w:lvl>
  </w:abstractNum>
  <w:abstractNum w:abstractNumId="2" w15:restartNumberingAfterBreak="0">
    <w:nsid w:val="FFFFFF89"/>
    <w:multiLevelType w:val="singleLevel"/>
    <w:tmpl w:val="5CCC8D44"/>
    <w:lvl w:ilvl="0">
      <w:start w:val="1"/>
      <w:numFmt w:val="bullet"/>
      <w:pStyle w:val="ListBullet"/>
      <w:lvlText w:val=""/>
      <w:lvlJc w:val="left"/>
      <w:pPr>
        <w:ind w:left="360" w:hanging="360"/>
      </w:pPr>
      <w:rPr>
        <w:rFonts w:ascii="Symbol" w:hAnsi="Symbol" w:hint="default"/>
        <w:color w:val="1D609D"/>
      </w:rPr>
    </w:lvl>
  </w:abstractNum>
  <w:abstractNum w:abstractNumId="3" w15:restartNumberingAfterBreak="0">
    <w:nsid w:val="02077636"/>
    <w:multiLevelType w:val="hybridMultilevel"/>
    <w:tmpl w:val="91E2100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F0BF51"/>
    <w:multiLevelType w:val="hybridMultilevel"/>
    <w:tmpl w:val="3FB8F76C"/>
    <w:lvl w:ilvl="0" w:tplc="FFFFFFFF">
      <w:start w:val="1"/>
      <w:numFmt w:val="decimal"/>
      <w:lvlText w:val="%1."/>
      <w:lvlJc w:val="left"/>
      <w:pPr>
        <w:ind w:left="720" w:hanging="360"/>
      </w:pPr>
    </w:lvl>
    <w:lvl w:ilvl="1" w:tplc="B15E016C">
      <w:start w:val="1"/>
      <w:numFmt w:val="bullet"/>
      <w:lvlText w:val="o"/>
      <w:lvlJc w:val="left"/>
      <w:pPr>
        <w:ind w:left="1440" w:hanging="360"/>
      </w:pPr>
      <w:rPr>
        <w:rFonts w:ascii="Courier New" w:hAnsi="Courier New" w:hint="default"/>
      </w:rPr>
    </w:lvl>
    <w:lvl w:ilvl="2" w:tplc="C9BA8FA8">
      <w:start w:val="1"/>
      <w:numFmt w:val="bullet"/>
      <w:lvlText w:val=""/>
      <w:lvlJc w:val="left"/>
      <w:pPr>
        <w:ind w:left="2160" w:hanging="360"/>
      </w:pPr>
      <w:rPr>
        <w:rFonts w:ascii="Wingdings" w:hAnsi="Wingdings" w:hint="default"/>
      </w:rPr>
    </w:lvl>
    <w:lvl w:ilvl="3" w:tplc="BAFAB886">
      <w:start w:val="1"/>
      <w:numFmt w:val="bullet"/>
      <w:lvlText w:val=""/>
      <w:lvlJc w:val="left"/>
      <w:pPr>
        <w:ind w:left="2880" w:hanging="360"/>
      </w:pPr>
      <w:rPr>
        <w:rFonts w:ascii="Symbol" w:hAnsi="Symbol" w:hint="default"/>
      </w:rPr>
    </w:lvl>
    <w:lvl w:ilvl="4" w:tplc="944CC2C0">
      <w:start w:val="1"/>
      <w:numFmt w:val="bullet"/>
      <w:lvlText w:val="o"/>
      <w:lvlJc w:val="left"/>
      <w:pPr>
        <w:ind w:left="3600" w:hanging="360"/>
      </w:pPr>
      <w:rPr>
        <w:rFonts w:ascii="Courier New" w:hAnsi="Courier New" w:hint="default"/>
      </w:rPr>
    </w:lvl>
    <w:lvl w:ilvl="5" w:tplc="CC602796">
      <w:start w:val="1"/>
      <w:numFmt w:val="bullet"/>
      <w:lvlText w:val=""/>
      <w:lvlJc w:val="left"/>
      <w:pPr>
        <w:ind w:left="4320" w:hanging="360"/>
      </w:pPr>
      <w:rPr>
        <w:rFonts w:ascii="Wingdings" w:hAnsi="Wingdings" w:hint="default"/>
      </w:rPr>
    </w:lvl>
    <w:lvl w:ilvl="6" w:tplc="1F9ABB96">
      <w:start w:val="1"/>
      <w:numFmt w:val="bullet"/>
      <w:lvlText w:val=""/>
      <w:lvlJc w:val="left"/>
      <w:pPr>
        <w:ind w:left="5040" w:hanging="360"/>
      </w:pPr>
      <w:rPr>
        <w:rFonts w:ascii="Symbol" w:hAnsi="Symbol" w:hint="default"/>
      </w:rPr>
    </w:lvl>
    <w:lvl w:ilvl="7" w:tplc="DB2CB4CE">
      <w:start w:val="1"/>
      <w:numFmt w:val="bullet"/>
      <w:lvlText w:val="o"/>
      <w:lvlJc w:val="left"/>
      <w:pPr>
        <w:ind w:left="5760" w:hanging="360"/>
      </w:pPr>
      <w:rPr>
        <w:rFonts w:ascii="Courier New" w:hAnsi="Courier New" w:hint="default"/>
      </w:rPr>
    </w:lvl>
    <w:lvl w:ilvl="8" w:tplc="C1C2A8A4">
      <w:start w:val="1"/>
      <w:numFmt w:val="bullet"/>
      <w:lvlText w:val=""/>
      <w:lvlJc w:val="left"/>
      <w:pPr>
        <w:ind w:left="6480" w:hanging="360"/>
      </w:pPr>
      <w:rPr>
        <w:rFonts w:ascii="Wingdings" w:hAnsi="Wingdings" w:hint="default"/>
      </w:rPr>
    </w:lvl>
  </w:abstractNum>
  <w:abstractNum w:abstractNumId="5" w15:restartNumberingAfterBreak="0">
    <w:nsid w:val="15AC2075"/>
    <w:multiLevelType w:val="hybridMultilevel"/>
    <w:tmpl w:val="A2BA49BC"/>
    <w:lvl w:ilvl="0" w:tplc="C7CEB14A">
      <w:start w:val="1"/>
      <w:numFmt w:val="decimal"/>
      <w:lvlText w:val="%1."/>
      <w:lvlJc w:val="left"/>
      <w:pPr>
        <w:ind w:left="360" w:hanging="360"/>
      </w:pPr>
      <w:rPr>
        <w:rFonts w:ascii="Arial" w:hAnsi="Arial" w:cs="Arial" w:hint="default"/>
        <w:b w:val="0"/>
        <w:i w:val="0"/>
        <w:iCs w:val="0"/>
        <w:color w:val="auto"/>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4C83559"/>
    <w:multiLevelType w:val="hybridMultilevel"/>
    <w:tmpl w:val="BEF2F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E2242C"/>
    <w:multiLevelType w:val="hybridMultilevel"/>
    <w:tmpl w:val="BD5E5534"/>
    <w:lvl w:ilvl="0" w:tplc="FFFFFFF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A2C6AE9"/>
    <w:multiLevelType w:val="hybridMultilevel"/>
    <w:tmpl w:val="E24AF606"/>
    <w:lvl w:ilvl="0" w:tplc="178CDAB0">
      <w:start w:val="1"/>
      <w:numFmt w:val="bullet"/>
      <w:lvlText w:val=""/>
      <w:lvlJc w:val="left"/>
      <w:pPr>
        <w:ind w:left="720" w:hanging="360"/>
      </w:pPr>
      <w:rPr>
        <w:rFonts w:ascii="Symbol" w:hAnsi="Symbol" w:hint="default"/>
      </w:rPr>
    </w:lvl>
    <w:lvl w:ilvl="1" w:tplc="1C1CE05A">
      <w:start w:val="1"/>
      <w:numFmt w:val="bullet"/>
      <w:lvlText w:val="o"/>
      <w:lvlJc w:val="left"/>
      <w:pPr>
        <w:ind w:left="1440" w:hanging="360"/>
      </w:pPr>
      <w:rPr>
        <w:rFonts w:ascii="Courier New" w:hAnsi="Courier New" w:hint="default"/>
      </w:rPr>
    </w:lvl>
    <w:lvl w:ilvl="2" w:tplc="9672FC10">
      <w:start w:val="1"/>
      <w:numFmt w:val="bullet"/>
      <w:lvlText w:val=""/>
      <w:lvlJc w:val="left"/>
      <w:pPr>
        <w:ind w:left="2160" w:hanging="360"/>
      </w:pPr>
      <w:rPr>
        <w:rFonts w:ascii="Wingdings" w:hAnsi="Wingdings" w:hint="default"/>
      </w:rPr>
    </w:lvl>
    <w:lvl w:ilvl="3" w:tplc="7C94BE00">
      <w:start w:val="1"/>
      <w:numFmt w:val="bullet"/>
      <w:lvlText w:val=""/>
      <w:lvlJc w:val="left"/>
      <w:pPr>
        <w:ind w:left="2880" w:hanging="360"/>
      </w:pPr>
      <w:rPr>
        <w:rFonts w:ascii="Symbol" w:hAnsi="Symbol" w:hint="default"/>
      </w:rPr>
    </w:lvl>
    <w:lvl w:ilvl="4" w:tplc="A5289E1A">
      <w:start w:val="1"/>
      <w:numFmt w:val="bullet"/>
      <w:lvlText w:val="o"/>
      <w:lvlJc w:val="left"/>
      <w:pPr>
        <w:ind w:left="3600" w:hanging="360"/>
      </w:pPr>
      <w:rPr>
        <w:rFonts w:ascii="Courier New" w:hAnsi="Courier New" w:hint="default"/>
      </w:rPr>
    </w:lvl>
    <w:lvl w:ilvl="5" w:tplc="D388BEAC">
      <w:start w:val="1"/>
      <w:numFmt w:val="bullet"/>
      <w:lvlText w:val=""/>
      <w:lvlJc w:val="left"/>
      <w:pPr>
        <w:ind w:left="4320" w:hanging="360"/>
      </w:pPr>
      <w:rPr>
        <w:rFonts w:ascii="Wingdings" w:hAnsi="Wingdings" w:hint="default"/>
      </w:rPr>
    </w:lvl>
    <w:lvl w:ilvl="6" w:tplc="766A211E">
      <w:start w:val="1"/>
      <w:numFmt w:val="bullet"/>
      <w:lvlText w:val=""/>
      <w:lvlJc w:val="left"/>
      <w:pPr>
        <w:ind w:left="5040" w:hanging="360"/>
      </w:pPr>
      <w:rPr>
        <w:rFonts w:ascii="Symbol" w:hAnsi="Symbol" w:hint="default"/>
      </w:rPr>
    </w:lvl>
    <w:lvl w:ilvl="7" w:tplc="BF6C354C">
      <w:start w:val="1"/>
      <w:numFmt w:val="bullet"/>
      <w:lvlText w:val="o"/>
      <w:lvlJc w:val="left"/>
      <w:pPr>
        <w:ind w:left="5760" w:hanging="360"/>
      </w:pPr>
      <w:rPr>
        <w:rFonts w:ascii="Courier New" w:hAnsi="Courier New" w:hint="default"/>
      </w:rPr>
    </w:lvl>
    <w:lvl w:ilvl="8" w:tplc="164CD648">
      <w:start w:val="1"/>
      <w:numFmt w:val="bullet"/>
      <w:lvlText w:val=""/>
      <w:lvlJc w:val="left"/>
      <w:pPr>
        <w:ind w:left="6480" w:hanging="360"/>
      </w:pPr>
      <w:rPr>
        <w:rFonts w:ascii="Wingdings" w:hAnsi="Wingdings" w:hint="default"/>
      </w:rPr>
    </w:lvl>
  </w:abstractNum>
  <w:abstractNum w:abstractNumId="9" w15:restartNumberingAfterBreak="0">
    <w:nsid w:val="3D367FFD"/>
    <w:multiLevelType w:val="hybridMultilevel"/>
    <w:tmpl w:val="A732B34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0" w15:restartNumberingAfterBreak="0">
    <w:nsid w:val="43763883"/>
    <w:multiLevelType w:val="hybridMultilevel"/>
    <w:tmpl w:val="86C6E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965FA9"/>
    <w:multiLevelType w:val="hybridMultilevel"/>
    <w:tmpl w:val="27A8E2EE"/>
    <w:lvl w:ilvl="0" w:tplc="08090001">
      <w:start w:val="1"/>
      <w:numFmt w:val="bullet"/>
      <w:lvlText w:val=""/>
      <w:lvlJc w:val="left"/>
      <w:pPr>
        <w:ind w:left="919" w:hanging="360"/>
      </w:pPr>
      <w:rPr>
        <w:rFonts w:ascii="Symbol" w:hAnsi="Symbol" w:hint="default"/>
      </w:rPr>
    </w:lvl>
    <w:lvl w:ilvl="1" w:tplc="08090003" w:tentative="1">
      <w:start w:val="1"/>
      <w:numFmt w:val="bullet"/>
      <w:lvlText w:val="o"/>
      <w:lvlJc w:val="left"/>
      <w:pPr>
        <w:ind w:left="1639" w:hanging="360"/>
      </w:pPr>
      <w:rPr>
        <w:rFonts w:ascii="Courier New" w:hAnsi="Courier New" w:cs="Courier New" w:hint="default"/>
      </w:rPr>
    </w:lvl>
    <w:lvl w:ilvl="2" w:tplc="08090005" w:tentative="1">
      <w:start w:val="1"/>
      <w:numFmt w:val="bullet"/>
      <w:lvlText w:val=""/>
      <w:lvlJc w:val="left"/>
      <w:pPr>
        <w:ind w:left="2359" w:hanging="360"/>
      </w:pPr>
      <w:rPr>
        <w:rFonts w:ascii="Wingdings" w:hAnsi="Wingdings" w:hint="default"/>
      </w:rPr>
    </w:lvl>
    <w:lvl w:ilvl="3" w:tplc="08090001" w:tentative="1">
      <w:start w:val="1"/>
      <w:numFmt w:val="bullet"/>
      <w:lvlText w:val=""/>
      <w:lvlJc w:val="left"/>
      <w:pPr>
        <w:ind w:left="3079" w:hanging="360"/>
      </w:pPr>
      <w:rPr>
        <w:rFonts w:ascii="Symbol" w:hAnsi="Symbol" w:hint="default"/>
      </w:rPr>
    </w:lvl>
    <w:lvl w:ilvl="4" w:tplc="08090003" w:tentative="1">
      <w:start w:val="1"/>
      <w:numFmt w:val="bullet"/>
      <w:lvlText w:val="o"/>
      <w:lvlJc w:val="left"/>
      <w:pPr>
        <w:ind w:left="3799" w:hanging="360"/>
      </w:pPr>
      <w:rPr>
        <w:rFonts w:ascii="Courier New" w:hAnsi="Courier New" w:cs="Courier New" w:hint="default"/>
      </w:rPr>
    </w:lvl>
    <w:lvl w:ilvl="5" w:tplc="08090005" w:tentative="1">
      <w:start w:val="1"/>
      <w:numFmt w:val="bullet"/>
      <w:lvlText w:val=""/>
      <w:lvlJc w:val="left"/>
      <w:pPr>
        <w:ind w:left="4519" w:hanging="360"/>
      </w:pPr>
      <w:rPr>
        <w:rFonts w:ascii="Wingdings" w:hAnsi="Wingdings" w:hint="default"/>
      </w:rPr>
    </w:lvl>
    <w:lvl w:ilvl="6" w:tplc="08090001" w:tentative="1">
      <w:start w:val="1"/>
      <w:numFmt w:val="bullet"/>
      <w:lvlText w:val=""/>
      <w:lvlJc w:val="left"/>
      <w:pPr>
        <w:ind w:left="5239" w:hanging="360"/>
      </w:pPr>
      <w:rPr>
        <w:rFonts w:ascii="Symbol" w:hAnsi="Symbol" w:hint="default"/>
      </w:rPr>
    </w:lvl>
    <w:lvl w:ilvl="7" w:tplc="08090003" w:tentative="1">
      <w:start w:val="1"/>
      <w:numFmt w:val="bullet"/>
      <w:lvlText w:val="o"/>
      <w:lvlJc w:val="left"/>
      <w:pPr>
        <w:ind w:left="5959" w:hanging="360"/>
      </w:pPr>
      <w:rPr>
        <w:rFonts w:ascii="Courier New" w:hAnsi="Courier New" w:cs="Courier New" w:hint="default"/>
      </w:rPr>
    </w:lvl>
    <w:lvl w:ilvl="8" w:tplc="08090005" w:tentative="1">
      <w:start w:val="1"/>
      <w:numFmt w:val="bullet"/>
      <w:lvlText w:val=""/>
      <w:lvlJc w:val="left"/>
      <w:pPr>
        <w:ind w:left="6679" w:hanging="360"/>
      </w:pPr>
      <w:rPr>
        <w:rFonts w:ascii="Wingdings" w:hAnsi="Wingdings" w:hint="default"/>
      </w:rPr>
    </w:lvl>
  </w:abstractNum>
  <w:abstractNum w:abstractNumId="12" w15:restartNumberingAfterBreak="0">
    <w:nsid w:val="4FB0540B"/>
    <w:multiLevelType w:val="hybridMultilevel"/>
    <w:tmpl w:val="81E0D508"/>
    <w:lvl w:ilvl="0" w:tplc="C2968724">
      <w:start w:val="1"/>
      <w:numFmt w:val="lowerRoman"/>
      <w:lvlText w:val="%1)"/>
      <w:lvlJc w:val="left"/>
      <w:pPr>
        <w:ind w:left="1440" w:hanging="720"/>
      </w:pPr>
      <w:rPr>
        <w:rFonts w:hint="default"/>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4EB09D0"/>
    <w:multiLevelType w:val="hybridMultilevel"/>
    <w:tmpl w:val="5E2C3CC6"/>
    <w:lvl w:ilvl="0" w:tplc="08090001">
      <w:start w:val="1"/>
      <w:numFmt w:val="bullet"/>
      <w:lvlText w:val=""/>
      <w:lvlJc w:val="left"/>
      <w:pPr>
        <w:ind w:left="559" w:hanging="360"/>
      </w:pPr>
      <w:rPr>
        <w:rFonts w:ascii="Symbol" w:hAnsi="Symbol" w:hint="default"/>
      </w:rPr>
    </w:lvl>
    <w:lvl w:ilvl="1" w:tplc="08090003" w:tentative="1">
      <w:start w:val="1"/>
      <w:numFmt w:val="bullet"/>
      <w:lvlText w:val="o"/>
      <w:lvlJc w:val="left"/>
      <w:pPr>
        <w:ind w:left="1279" w:hanging="360"/>
      </w:pPr>
      <w:rPr>
        <w:rFonts w:ascii="Courier New" w:hAnsi="Courier New" w:cs="Courier New" w:hint="default"/>
      </w:rPr>
    </w:lvl>
    <w:lvl w:ilvl="2" w:tplc="08090005" w:tentative="1">
      <w:start w:val="1"/>
      <w:numFmt w:val="bullet"/>
      <w:lvlText w:val=""/>
      <w:lvlJc w:val="left"/>
      <w:pPr>
        <w:ind w:left="1999" w:hanging="360"/>
      </w:pPr>
      <w:rPr>
        <w:rFonts w:ascii="Wingdings" w:hAnsi="Wingdings" w:hint="default"/>
      </w:rPr>
    </w:lvl>
    <w:lvl w:ilvl="3" w:tplc="08090001" w:tentative="1">
      <w:start w:val="1"/>
      <w:numFmt w:val="bullet"/>
      <w:lvlText w:val=""/>
      <w:lvlJc w:val="left"/>
      <w:pPr>
        <w:ind w:left="2719" w:hanging="360"/>
      </w:pPr>
      <w:rPr>
        <w:rFonts w:ascii="Symbol" w:hAnsi="Symbol" w:hint="default"/>
      </w:rPr>
    </w:lvl>
    <w:lvl w:ilvl="4" w:tplc="08090003" w:tentative="1">
      <w:start w:val="1"/>
      <w:numFmt w:val="bullet"/>
      <w:lvlText w:val="o"/>
      <w:lvlJc w:val="left"/>
      <w:pPr>
        <w:ind w:left="3439" w:hanging="360"/>
      </w:pPr>
      <w:rPr>
        <w:rFonts w:ascii="Courier New" w:hAnsi="Courier New" w:cs="Courier New" w:hint="default"/>
      </w:rPr>
    </w:lvl>
    <w:lvl w:ilvl="5" w:tplc="08090005" w:tentative="1">
      <w:start w:val="1"/>
      <w:numFmt w:val="bullet"/>
      <w:lvlText w:val=""/>
      <w:lvlJc w:val="left"/>
      <w:pPr>
        <w:ind w:left="4159" w:hanging="360"/>
      </w:pPr>
      <w:rPr>
        <w:rFonts w:ascii="Wingdings" w:hAnsi="Wingdings" w:hint="default"/>
      </w:rPr>
    </w:lvl>
    <w:lvl w:ilvl="6" w:tplc="08090001" w:tentative="1">
      <w:start w:val="1"/>
      <w:numFmt w:val="bullet"/>
      <w:lvlText w:val=""/>
      <w:lvlJc w:val="left"/>
      <w:pPr>
        <w:ind w:left="4879" w:hanging="360"/>
      </w:pPr>
      <w:rPr>
        <w:rFonts w:ascii="Symbol" w:hAnsi="Symbol" w:hint="default"/>
      </w:rPr>
    </w:lvl>
    <w:lvl w:ilvl="7" w:tplc="08090003" w:tentative="1">
      <w:start w:val="1"/>
      <w:numFmt w:val="bullet"/>
      <w:lvlText w:val="o"/>
      <w:lvlJc w:val="left"/>
      <w:pPr>
        <w:ind w:left="5599" w:hanging="360"/>
      </w:pPr>
      <w:rPr>
        <w:rFonts w:ascii="Courier New" w:hAnsi="Courier New" w:cs="Courier New" w:hint="default"/>
      </w:rPr>
    </w:lvl>
    <w:lvl w:ilvl="8" w:tplc="08090005" w:tentative="1">
      <w:start w:val="1"/>
      <w:numFmt w:val="bullet"/>
      <w:lvlText w:val=""/>
      <w:lvlJc w:val="left"/>
      <w:pPr>
        <w:ind w:left="6319" w:hanging="360"/>
      </w:pPr>
      <w:rPr>
        <w:rFonts w:ascii="Wingdings" w:hAnsi="Wingdings" w:hint="default"/>
      </w:rPr>
    </w:lvl>
  </w:abstractNum>
  <w:abstractNum w:abstractNumId="14" w15:restartNumberingAfterBreak="0">
    <w:nsid w:val="5B242D9E"/>
    <w:multiLevelType w:val="hybridMultilevel"/>
    <w:tmpl w:val="A4665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351FD7"/>
    <w:multiLevelType w:val="multilevel"/>
    <w:tmpl w:val="6C4407F8"/>
    <w:lvl w:ilvl="0">
      <w:start w:val="2"/>
      <w:numFmt w:val="decimal"/>
      <w:lvlText w:val="%1."/>
      <w:lvlJc w:val="left"/>
      <w:pPr>
        <w:ind w:left="360" w:hanging="360"/>
      </w:pPr>
      <w:rPr>
        <w:rFonts w:hint="default"/>
        <w:b w:val="0"/>
        <w:bCs w:val="0"/>
        <w:i w:val="0"/>
        <w:iCs/>
      </w:rPr>
    </w:lvl>
    <w:lvl w:ilvl="1">
      <w:start w:val="1"/>
      <w:numFmt w:val="decimal"/>
      <w:lvlText w:val="%1.%2"/>
      <w:lvlJc w:val="left"/>
      <w:pPr>
        <w:ind w:left="1080" w:hanging="360"/>
      </w:pPr>
      <w:rPr>
        <w:rFonts w:hint="default"/>
        <w:i/>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16" w15:restartNumberingAfterBreak="0">
    <w:nsid w:val="5D52675B"/>
    <w:multiLevelType w:val="hybridMultilevel"/>
    <w:tmpl w:val="ADB45EC8"/>
    <w:lvl w:ilvl="0" w:tplc="FFFFFFF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81716A9"/>
    <w:multiLevelType w:val="hybridMultilevel"/>
    <w:tmpl w:val="50E85714"/>
    <w:lvl w:ilvl="0" w:tplc="FFFFFFF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3362503"/>
    <w:multiLevelType w:val="hybridMultilevel"/>
    <w:tmpl w:val="439AFA02"/>
    <w:lvl w:ilvl="0" w:tplc="178CDAB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F253DE"/>
    <w:multiLevelType w:val="hybridMultilevel"/>
    <w:tmpl w:val="69ECF2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31836093">
    <w:abstractNumId w:val="2"/>
  </w:num>
  <w:num w:numId="2" w16cid:durableId="1489007703">
    <w:abstractNumId w:val="0"/>
  </w:num>
  <w:num w:numId="3" w16cid:durableId="1564172119">
    <w:abstractNumId w:val="1"/>
  </w:num>
  <w:num w:numId="4" w16cid:durableId="1912152431">
    <w:abstractNumId w:val="2"/>
    <w:lvlOverride w:ilvl="0">
      <w:startOverride w:val="1"/>
    </w:lvlOverride>
  </w:num>
  <w:num w:numId="5" w16cid:durableId="1889682978">
    <w:abstractNumId w:val="0"/>
    <w:lvlOverride w:ilvl="0">
      <w:startOverride w:val="1"/>
    </w:lvlOverride>
  </w:num>
  <w:num w:numId="6" w16cid:durableId="1031686937">
    <w:abstractNumId w:val="2"/>
  </w:num>
  <w:num w:numId="7" w16cid:durableId="1432823314">
    <w:abstractNumId w:val="1"/>
    <w:lvlOverride w:ilvl="0">
      <w:startOverride w:val="1"/>
    </w:lvlOverride>
  </w:num>
  <w:num w:numId="8" w16cid:durableId="657459857">
    <w:abstractNumId w:val="0"/>
  </w:num>
  <w:num w:numId="9" w16cid:durableId="1119178450">
    <w:abstractNumId w:val="10"/>
  </w:num>
  <w:num w:numId="10" w16cid:durableId="465508085">
    <w:abstractNumId w:val="16"/>
  </w:num>
  <w:num w:numId="11" w16cid:durableId="1669405916">
    <w:abstractNumId w:val="11"/>
  </w:num>
  <w:num w:numId="12" w16cid:durableId="2072844684">
    <w:abstractNumId w:val="13"/>
  </w:num>
  <w:num w:numId="13" w16cid:durableId="1028529691">
    <w:abstractNumId w:val="15"/>
  </w:num>
  <w:num w:numId="14" w16cid:durableId="1630941324">
    <w:abstractNumId w:val="14"/>
  </w:num>
  <w:num w:numId="15" w16cid:durableId="267930810">
    <w:abstractNumId w:val="7"/>
  </w:num>
  <w:num w:numId="16" w16cid:durableId="1413040522">
    <w:abstractNumId w:val="8"/>
  </w:num>
  <w:num w:numId="17" w16cid:durableId="1252667435">
    <w:abstractNumId w:val="18"/>
  </w:num>
  <w:num w:numId="18" w16cid:durableId="398940834">
    <w:abstractNumId w:val="4"/>
  </w:num>
  <w:num w:numId="19" w16cid:durableId="1999991562">
    <w:abstractNumId w:val="12"/>
  </w:num>
  <w:num w:numId="20" w16cid:durableId="1936747424">
    <w:abstractNumId w:val="5"/>
  </w:num>
  <w:num w:numId="21" w16cid:durableId="1576891653">
    <w:abstractNumId w:val="17"/>
  </w:num>
  <w:num w:numId="22" w16cid:durableId="265969907">
    <w:abstractNumId w:val="3"/>
  </w:num>
  <w:num w:numId="23" w16cid:durableId="1551109369">
    <w:abstractNumId w:val="19"/>
  </w:num>
  <w:num w:numId="24" w16cid:durableId="348678708">
    <w:abstractNumId w:val="6"/>
  </w:num>
  <w:num w:numId="25" w16cid:durableId="13429271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317"/>
    <w:rsid w:val="000141A1"/>
    <w:rsid w:val="00022442"/>
    <w:rsid w:val="00027E38"/>
    <w:rsid w:val="0003174F"/>
    <w:rsid w:val="0003202C"/>
    <w:rsid w:val="00043F38"/>
    <w:rsid w:val="00056F46"/>
    <w:rsid w:val="00090E40"/>
    <w:rsid w:val="00097A08"/>
    <w:rsid w:val="00097E71"/>
    <w:rsid w:val="000F3C47"/>
    <w:rsid w:val="00107F2E"/>
    <w:rsid w:val="00114001"/>
    <w:rsid w:val="00117EEB"/>
    <w:rsid w:val="00155600"/>
    <w:rsid w:val="00157DF9"/>
    <w:rsid w:val="00175D09"/>
    <w:rsid w:val="00185332"/>
    <w:rsid w:val="00187849"/>
    <w:rsid w:val="001950AD"/>
    <w:rsid w:val="001A71CD"/>
    <w:rsid w:val="001C157D"/>
    <w:rsid w:val="001C172D"/>
    <w:rsid w:val="001C72CB"/>
    <w:rsid w:val="001F5008"/>
    <w:rsid w:val="00222AD7"/>
    <w:rsid w:val="00223A3D"/>
    <w:rsid w:val="002258C3"/>
    <w:rsid w:val="00230609"/>
    <w:rsid w:val="00231273"/>
    <w:rsid w:val="00240F37"/>
    <w:rsid w:val="00242058"/>
    <w:rsid w:val="002659E4"/>
    <w:rsid w:val="00274CB4"/>
    <w:rsid w:val="0028397F"/>
    <w:rsid w:val="00293CEB"/>
    <w:rsid w:val="002B08D4"/>
    <w:rsid w:val="002B1FC1"/>
    <w:rsid w:val="002C1ADE"/>
    <w:rsid w:val="002E27D0"/>
    <w:rsid w:val="002E42EE"/>
    <w:rsid w:val="002E470D"/>
    <w:rsid w:val="002F0420"/>
    <w:rsid w:val="002F075A"/>
    <w:rsid w:val="00302BF4"/>
    <w:rsid w:val="003213BD"/>
    <w:rsid w:val="00324BDF"/>
    <w:rsid w:val="003355F1"/>
    <w:rsid w:val="00364811"/>
    <w:rsid w:val="00372CF4"/>
    <w:rsid w:val="003967E8"/>
    <w:rsid w:val="003970C0"/>
    <w:rsid w:val="003A2C7E"/>
    <w:rsid w:val="003D27AC"/>
    <w:rsid w:val="003E069E"/>
    <w:rsid w:val="003E1847"/>
    <w:rsid w:val="003F4E98"/>
    <w:rsid w:val="00401D5E"/>
    <w:rsid w:val="004062D1"/>
    <w:rsid w:val="0041772A"/>
    <w:rsid w:val="00420641"/>
    <w:rsid w:val="00424870"/>
    <w:rsid w:val="00435664"/>
    <w:rsid w:val="00446DDB"/>
    <w:rsid w:val="00452CD5"/>
    <w:rsid w:val="00453BC7"/>
    <w:rsid w:val="00455280"/>
    <w:rsid w:val="00482356"/>
    <w:rsid w:val="004C1095"/>
    <w:rsid w:val="004E644A"/>
    <w:rsid w:val="004F40BE"/>
    <w:rsid w:val="00507841"/>
    <w:rsid w:val="005230CA"/>
    <w:rsid w:val="005238A7"/>
    <w:rsid w:val="00523F37"/>
    <w:rsid w:val="00526855"/>
    <w:rsid w:val="00545B6C"/>
    <w:rsid w:val="00546AD7"/>
    <w:rsid w:val="00547349"/>
    <w:rsid w:val="00586E1A"/>
    <w:rsid w:val="005E473D"/>
    <w:rsid w:val="005E51D0"/>
    <w:rsid w:val="005E61A2"/>
    <w:rsid w:val="005F746C"/>
    <w:rsid w:val="006019FB"/>
    <w:rsid w:val="00610177"/>
    <w:rsid w:val="00623508"/>
    <w:rsid w:val="0062433C"/>
    <w:rsid w:val="0064101D"/>
    <w:rsid w:val="00656C49"/>
    <w:rsid w:val="006631B7"/>
    <w:rsid w:val="00691C20"/>
    <w:rsid w:val="00694A2C"/>
    <w:rsid w:val="006B1C3F"/>
    <w:rsid w:val="006B60F1"/>
    <w:rsid w:val="006D0B4E"/>
    <w:rsid w:val="006D164C"/>
    <w:rsid w:val="006E6E97"/>
    <w:rsid w:val="006F385B"/>
    <w:rsid w:val="00702226"/>
    <w:rsid w:val="00721262"/>
    <w:rsid w:val="00735B95"/>
    <w:rsid w:val="00737DE4"/>
    <w:rsid w:val="00762F89"/>
    <w:rsid w:val="00771C11"/>
    <w:rsid w:val="007736DF"/>
    <w:rsid w:val="007A232C"/>
    <w:rsid w:val="007A6936"/>
    <w:rsid w:val="007C2164"/>
    <w:rsid w:val="007E260B"/>
    <w:rsid w:val="007E4317"/>
    <w:rsid w:val="008114F6"/>
    <w:rsid w:val="008134C9"/>
    <w:rsid w:val="00822EC3"/>
    <w:rsid w:val="008249CF"/>
    <w:rsid w:val="00841C13"/>
    <w:rsid w:val="00844BFC"/>
    <w:rsid w:val="00874375"/>
    <w:rsid w:val="008A6711"/>
    <w:rsid w:val="008B2C35"/>
    <w:rsid w:val="008D1B49"/>
    <w:rsid w:val="008D4D0A"/>
    <w:rsid w:val="008E5D5C"/>
    <w:rsid w:val="008F6C62"/>
    <w:rsid w:val="00916276"/>
    <w:rsid w:val="009179CD"/>
    <w:rsid w:val="00925DEE"/>
    <w:rsid w:val="00932F7F"/>
    <w:rsid w:val="0094125B"/>
    <w:rsid w:val="00942413"/>
    <w:rsid w:val="0094384F"/>
    <w:rsid w:val="00966655"/>
    <w:rsid w:val="00966DC0"/>
    <w:rsid w:val="00973545"/>
    <w:rsid w:val="00974A17"/>
    <w:rsid w:val="00986583"/>
    <w:rsid w:val="00990242"/>
    <w:rsid w:val="00994ABA"/>
    <w:rsid w:val="009A1CE1"/>
    <w:rsid w:val="009B7946"/>
    <w:rsid w:val="009C2D22"/>
    <w:rsid w:val="009D1A2A"/>
    <w:rsid w:val="009D339D"/>
    <w:rsid w:val="009F288C"/>
    <w:rsid w:val="00A11FE2"/>
    <w:rsid w:val="00A3642E"/>
    <w:rsid w:val="00A434CD"/>
    <w:rsid w:val="00A47640"/>
    <w:rsid w:val="00A96637"/>
    <w:rsid w:val="00AA019F"/>
    <w:rsid w:val="00AB5E0A"/>
    <w:rsid w:val="00AC2AF8"/>
    <w:rsid w:val="00AC415E"/>
    <w:rsid w:val="00AC6247"/>
    <w:rsid w:val="00AD05F3"/>
    <w:rsid w:val="00AD52C7"/>
    <w:rsid w:val="00AE4DF7"/>
    <w:rsid w:val="00B07CB3"/>
    <w:rsid w:val="00B07DC6"/>
    <w:rsid w:val="00B37652"/>
    <w:rsid w:val="00B4736D"/>
    <w:rsid w:val="00B52D30"/>
    <w:rsid w:val="00B63608"/>
    <w:rsid w:val="00B647DA"/>
    <w:rsid w:val="00B73395"/>
    <w:rsid w:val="00B91315"/>
    <w:rsid w:val="00BA679C"/>
    <w:rsid w:val="00BB641C"/>
    <w:rsid w:val="00BC4DBC"/>
    <w:rsid w:val="00BD58B7"/>
    <w:rsid w:val="00BE2135"/>
    <w:rsid w:val="00BE577F"/>
    <w:rsid w:val="00BF23EA"/>
    <w:rsid w:val="00C05AD7"/>
    <w:rsid w:val="00C4229B"/>
    <w:rsid w:val="00C4451C"/>
    <w:rsid w:val="00C547BA"/>
    <w:rsid w:val="00C57D67"/>
    <w:rsid w:val="00C7080D"/>
    <w:rsid w:val="00C74584"/>
    <w:rsid w:val="00C87397"/>
    <w:rsid w:val="00CA6963"/>
    <w:rsid w:val="00D10C55"/>
    <w:rsid w:val="00D22DB0"/>
    <w:rsid w:val="00D370CA"/>
    <w:rsid w:val="00D50660"/>
    <w:rsid w:val="00D509CB"/>
    <w:rsid w:val="00D6751E"/>
    <w:rsid w:val="00D67E36"/>
    <w:rsid w:val="00D939B9"/>
    <w:rsid w:val="00DB0D72"/>
    <w:rsid w:val="00DB66C5"/>
    <w:rsid w:val="00E02028"/>
    <w:rsid w:val="00E040D1"/>
    <w:rsid w:val="00E11DDB"/>
    <w:rsid w:val="00E14466"/>
    <w:rsid w:val="00E24981"/>
    <w:rsid w:val="00E26288"/>
    <w:rsid w:val="00E4123E"/>
    <w:rsid w:val="00E974C4"/>
    <w:rsid w:val="00ED57AF"/>
    <w:rsid w:val="00EF095E"/>
    <w:rsid w:val="00F11782"/>
    <w:rsid w:val="00F507D8"/>
    <w:rsid w:val="00F56600"/>
    <w:rsid w:val="00F6533F"/>
    <w:rsid w:val="00F66626"/>
    <w:rsid w:val="00F96EBB"/>
    <w:rsid w:val="00FC11CC"/>
    <w:rsid w:val="00FC1645"/>
    <w:rsid w:val="00FC43E6"/>
    <w:rsid w:val="00FE7A54"/>
    <w:rsid w:val="00FF3DF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02149"/>
  <w15:chartTrackingRefBased/>
  <w15:docId w15:val="{B2C6C4C7-C453-47A8-B5DB-AD699D99E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qFormat="1"/>
    <w:lsdException w:name="annotation text" w:semiHidden="1"/>
    <w:lsdException w:name="header" w:uiPriority="8"/>
    <w:lsdException w:name="footer" w:uiPriority="8"/>
    <w:lsdException w:name="index heading" w:semiHidden="1"/>
    <w:lsdException w:name="caption" w:semiHidden="1" w:qFormat="1"/>
    <w:lsdException w:name="table of figures" w:semiHidden="1"/>
    <w:lsdException w:name="envelope address" w:semiHidden="1"/>
    <w:lsdException w:name="envelope return" w:semiHidden="1"/>
    <w:lsdException w:name="annotation reference" w:semiHidden="1"/>
    <w:lsdException w:name="line number" w:semiHidden="1"/>
    <w:lsdException w:name="page number" w:semiHidden="1" w:uiPriority="8"/>
    <w:lsdException w:name="endnote reference" w:semiHidden="1" w:uiPriority="3"/>
    <w:lsdException w:name="endnote text" w:semiHidden="1" w:uiPriority="3"/>
    <w:lsdException w:name="table of authorities" w:semiHidden="1"/>
    <w:lsdException w:name="macro" w:semiHidden="1"/>
    <w:lsdException w:name="toa heading" w:semiHidden="1"/>
    <w:lsdException w:name="List" w:semiHidden="1"/>
    <w:lsdException w:name="List Bullet" w:uiPriority="2" w:qFormat="1"/>
    <w:lsdException w:name="List Number" w:uiPriority="1" w:qFormat="1"/>
    <w:lsdException w:name="List 2" w:semiHidden="1"/>
    <w:lsdException w:name="List 3" w:semiHidden="1"/>
    <w:lsdException w:name="List 4" w:semiHidden="1"/>
    <w:lsdException w:name="List 5" w:semiHidden="1"/>
    <w:lsdException w:name="List Bullet 2" w:uiPriority="2" w:qFormat="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8" w:qFormat="1"/>
    <w:lsdException w:name="Closing" w:semiHidden="1"/>
    <w:lsdException w:name="Signature" w:semiHidden="1"/>
    <w:lsdException w:name="Default Paragraph Font" w:semiHidden="1" w:uiPriority="1" w:unhideWhenUsed="1"/>
    <w:lsdException w:name="Body Text" w:uiPriority="1" w:qFormat="1"/>
    <w:lsdException w:name="Body Text Indent" w:uiPriority="1"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8" w:qFormat="1"/>
    <w:lsdException w:name="Salutation" w:semiHidden="1"/>
    <w:lsdException w:name="Date" w:semiHidden="1" w:uiPriority="8"/>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8"/>
    <w:lsdException w:name="Strong" w:semiHidden="1" w:qFormat="1"/>
    <w:lsdException w:name="Emphasis" w:semiHidden="1"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lsdException w:name="TOC Heading" w:semiHidden="1" w:uiPriority="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uiPriority w:val="8"/>
    <w:qFormat/>
    <w:rsid w:val="002E42EE"/>
    <w:pPr>
      <w:spacing w:after="240" w:line="276" w:lineRule="auto"/>
    </w:pPr>
    <w:rPr>
      <w:sz w:val="24"/>
    </w:rPr>
  </w:style>
  <w:style w:type="paragraph" w:styleId="Heading1">
    <w:name w:val="heading 1"/>
    <w:next w:val="BodyText"/>
    <w:link w:val="Heading1Char"/>
    <w:qFormat/>
    <w:rsid w:val="00F507D8"/>
    <w:pPr>
      <w:keepNext/>
      <w:keepLines/>
      <w:spacing w:before="480" w:after="480" w:line="240" w:lineRule="auto"/>
      <w:contextualSpacing/>
      <w:outlineLvl w:val="0"/>
    </w:pPr>
    <w:rPr>
      <w:rFonts w:asciiTheme="majorHAnsi" w:eastAsiaTheme="majorEastAsia" w:hAnsiTheme="majorHAnsi" w:cstheme="majorBidi"/>
      <w:b/>
      <w:color w:val="1D609D" w:themeColor="accent1"/>
      <w:sz w:val="48"/>
      <w:szCs w:val="32"/>
    </w:rPr>
  </w:style>
  <w:style w:type="paragraph" w:styleId="Heading2">
    <w:name w:val="heading 2"/>
    <w:next w:val="BodyText"/>
    <w:link w:val="Heading2Char"/>
    <w:qFormat/>
    <w:rsid w:val="00F507D8"/>
    <w:pPr>
      <w:keepNext/>
      <w:keepLines/>
      <w:spacing w:before="240" w:after="120" w:line="276" w:lineRule="auto"/>
      <w:outlineLvl w:val="1"/>
    </w:pPr>
    <w:rPr>
      <w:rFonts w:asciiTheme="majorHAnsi" w:eastAsiaTheme="majorEastAsia" w:hAnsiTheme="majorHAnsi" w:cstheme="majorBidi"/>
      <w:b/>
      <w:sz w:val="32"/>
      <w:szCs w:val="26"/>
    </w:rPr>
  </w:style>
  <w:style w:type="paragraph" w:styleId="Heading3">
    <w:name w:val="heading 3"/>
    <w:next w:val="BodyText"/>
    <w:link w:val="Heading3Char"/>
    <w:qFormat/>
    <w:rsid w:val="002F075A"/>
    <w:pPr>
      <w:keepNext/>
      <w:keepLines/>
      <w:spacing w:after="0" w:line="276" w:lineRule="auto"/>
      <w:contextualSpacing/>
      <w:outlineLvl w:val="2"/>
    </w:pPr>
    <w:rPr>
      <w:rFonts w:asciiTheme="majorHAnsi" w:eastAsiaTheme="majorEastAsia" w:hAnsiTheme="majorHAnsi" w:cstheme="majorBidi"/>
      <w:b/>
      <w:sz w:val="24"/>
      <w:szCs w:val="24"/>
    </w:rPr>
  </w:style>
  <w:style w:type="paragraph" w:styleId="Heading4">
    <w:name w:val="heading 4"/>
    <w:next w:val="BodyText"/>
    <w:link w:val="Heading4Char"/>
    <w:qFormat/>
    <w:rsid w:val="002F075A"/>
    <w:pPr>
      <w:keepNext/>
      <w:keepLines/>
      <w:spacing w:after="0" w:line="276" w:lineRule="auto"/>
      <w:contextualSpacing/>
      <w:outlineLvl w:val="3"/>
    </w:pPr>
    <w:rPr>
      <w:rFonts w:asciiTheme="majorHAnsi" w:eastAsiaTheme="majorEastAsia" w:hAnsiTheme="majorHAnsi" w:cstheme="majorBid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BodyText"/>
    <w:link w:val="FootnoteTextChar"/>
    <w:uiPriority w:val="99"/>
    <w:qFormat/>
    <w:rsid w:val="00916276"/>
    <w:pPr>
      <w:spacing w:after="40" w:line="240" w:lineRule="auto"/>
      <w:ind w:left="284" w:hanging="284"/>
    </w:pPr>
    <w:rPr>
      <w:sz w:val="20"/>
      <w:szCs w:val="20"/>
    </w:rPr>
  </w:style>
  <w:style w:type="character" w:customStyle="1" w:styleId="FootnoteTextChar">
    <w:name w:val="Footnote Text Char"/>
    <w:basedOn w:val="DefaultParagraphFont"/>
    <w:link w:val="FootnoteText"/>
    <w:uiPriority w:val="99"/>
    <w:rsid w:val="00916276"/>
    <w:rPr>
      <w:sz w:val="20"/>
      <w:szCs w:val="20"/>
    </w:rPr>
  </w:style>
  <w:style w:type="character" w:styleId="FootnoteReference">
    <w:name w:val="footnote reference"/>
    <w:basedOn w:val="DefaultParagraphFont"/>
    <w:uiPriority w:val="99"/>
    <w:semiHidden/>
    <w:rsid w:val="00B91315"/>
    <w:rPr>
      <w:vertAlign w:val="superscript"/>
    </w:rPr>
  </w:style>
  <w:style w:type="paragraph" w:styleId="Title">
    <w:name w:val="Title"/>
    <w:next w:val="Subtitle"/>
    <w:link w:val="TitleChar"/>
    <w:uiPriority w:val="8"/>
    <w:qFormat/>
    <w:rsid w:val="005F746C"/>
    <w:pPr>
      <w:spacing w:before="2940" w:after="0" w:line="240" w:lineRule="auto"/>
      <w:contextualSpacing/>
      <w:outlineLvl w:val="0"/>
    </w:pPr>
    <w:rPr>
      <w:rFonts w:asciiTheme="majorHAnsi" w:eastAsiaTheme="majorEastAsia" w:hAnsiTheme="majorHAnsi" w:cstheme="majorBidi"/>
      <w:b/>
      <w:color w:val="1D609D" w:themeColor="accent1"/>
      <w:sz w:val="68"/>
      <w:szCs w:val="56"/>
    </w:rPr>
  </w:style>
  <w:style w:type="character" w:customStyle="1" w:styleId="TitleChar">
    <w:name w:val="Title Char"/>
    <w:basedOn w:val="DefaultParagraphFont"/>
    <w:link w:val="Title"/>
    <w:uiPriority w:val="8"/>
    <w:rsid w:val="005F746C"/>
    <w:rPr>
      <w:rFonts w:asciiTheme="majorHAnsi" w:eastAsiaTheme="majorEastAsia" w:hAnsiTheme="majorHAnsi" w:cstheme="majorBidi"/>
      <w:b/>
      <w:color w:val="1D609D" w:themeColor="accent1"/>
      <w:sz w:val="68"/>
      <w:szCs w:val="56"/>
    </w:rPr>
  </w:style>
  <w:style w:type="paragraph" w:styleId="Subtitle">
    <w:name w:val="Subtitle"/>
    <w:next w:val="BodyText"/>
    <w:link w:val="SubtitleChar"/>
    <w:uiPriority w:val="8"/>
    <w:qFormat/>
    <w:rsid w:val="005F746C"/>
    <w:pPr>
      <w:numPr>
        <w:ilvl w:val="1"/>
      </w:numPr>
      <w:spacing w:after="0" w:line="240" w:lineRule="auto"/>
      <w:contextualSpacing/>
      <w:outlineLvl w:val="1"/>
    </w:pPr>
    <w:rPr>
      <w:rFonts w:asciiTheme="majorHAnsi" w:eastAsiaTheme="minorEastAsia" w:hAnsiTheme="majorHAnsi"/>
      <w:b/>
      <w:color w:val="1D609D" w:themeColor="accent1"/>
      <w:sz w:val="48"/>
    </w:rPr>
  </w:style>
  <w:style w:type="character" w:customStyle="1" w:styleId="SubtitleChar">
    <w:name w:val="Subtitle Char"/>
    <w:basedOn w:val="DefaultParagraphFont"/>
    <w:link w:val="Subtitle"/>
    <w:uiPriority w:val="8"/>
    <w:rsid w:val="005F746C"/>
    <w:rPr>
      <w:rFonts w:asciiTheme="majorHAnsi" w:eastAsiaTheme="minorEastAsia" w:hAnsiTheme="majorHAnsi"/>
      <w:b/>
      <w:color w:val="1D609D" w:themeColor="accent1"/>
      <w:sz w:val="48"/>
    </w:rPr>
  </w:style>
  <w:style w:type="character" w:styleId="FollowedHyperlink">
    <w:name w:val="FollowedHyperlink"/>
    <w:uiPriority w:val="8"/>
    <w:unhideWhenUsed/>
    <w:rsid w:val="00D50660"/>
    <w:rPr>
      <w:color w:val="00B1EB" w:themeColor="followedHyperlink"/>
      <w:u w:val="single"/>
    </w:rPr>
  </w:style>
  <w:style w:type="character" w:customStyle="1" w:styleId="Heading1Char">
    <w:name w:val="Heading 1 Char"/>
    <w:basedOn w:val="DefaultParagraphFont"/>
    <w:link w:val="Heading1"/>
    <w:rsid w:val="00F507D8"/>
    <w:rPr>
      <w:rFonts w:asciiTheme="majorHAnsi" w:eastAsiaTheme="majorEastAsia" w:hAnsiTheme="majorHAnsi" w:cstheme="majorBidi"/>
      <w:b/>
      <w:color w:val="1D609D" w:themeColor="accent1"/>
      <w:sz w:val="48"/>
      <w:szCs w:val="32"/>
    </w:rPr>
  </w:style>
  <w:style w:type="paragraph" w:styleId="TOCHeading">
    <w:name w:val="TOC Heading"/>
    <w:basedOn w:val="Heading1"/>
    <w:next w:val="BodyText"/>
    <w:uiPriority w:val="8"/>
    <w:semiHidden/>
    <w:rsid w:val="00AD05F3"/>
    <w:pPr>
      <w:outlineLvl w:val="9"/>
    </w:pPr>
  </w:style>
  <w:style w:type="character" w:customStyle="1" w:styleId="Heading2Char">
    <w:name w:val="Heading 2 Char"/>
    <w:basedOn w:val="DefaultParagraphFont"/>
    <w:link w:val="Heading2"/>
    <w:rsid w:val="00F507D8"/>
    <w:rPr>
      <w:rFonts w:asciiTheme="majorHAnsi" w:eastAsiaTheme="majorEastAsia" w:hAnsiTheme="majorHAnsi" w:cstheme="majorBidi"/>
      <w:b/>
      <w:sz w:val="32"/>
      <w:szCs w:val="26"/>
    </w:rPr>
  </w:style>
  <w:style w:type="character" w:customStyle="1" w:styleId="Heading3Char">
    <w:name w:val="Heading 3 Char"/>
    <w:basedOn w:val="DefaultParagraphFont"/>
    <w:link w:val="Heading3"/>
    <w:rsid w:val="002F075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rsid w:val="002F075A"/>
    <w:rPr>
      <w:rFonts w:asciiTheme="majorHAnsi" w:eastAsiaTheme="majorEastAsia" w:hAnsiTheme="majorHAnsi" w:cstheme="majorBidi"/>
      <w:i/>
      <w:iCs/>
      <w:sz w:val="24"/>
    </w:rPr>
  </w:style>
  <w:style w:type="paragraph" w:styleId="BodyText">
    <w:name w:val="Body Text"/>
    <w:link w:val="BodyTextChar"/>
    <w:uiPriority w:val="1"/>
    <w:qFormat/>
    <w:rsid w:val="002F075A"/>
    <w:pPr>
      <w:spacing w:after="240" w:line="276" w:lineRule="auto"/>
    </w:pPr>
    <w:rPr>
      <w:sz w:val="24"/>
    </w:rPr>
  </w:style>
  <w:style w:type="character" w:customStyle="1" w:styleId="BodyTextChar">
    <w:name w:val="Body Text Char"/>
    <w:basedOn w:val="DefaultParagraphFont"/>
    <w:link w:val="BodyText"/>
    <w:uiPriority w:val="1"/>
    <w:rsid w:val="002F075A"/>
    <w:rPr>
      <w:sz w:val="24"/>
    </w:rPr>
  </w:style>
  <w:style w:type="paragraph" w:styleId="BodyTextIndent">
    <w:name w:val="Body Text Indent"/>
    <w:basedOn w:val="BodyText"/>
    <w:link w:val="BodyTextIndentChar"/>
    <w:uiPriority w:val="1"/>
    <w:qFormat/>
    <w:rsid w:val="002F075A"/>
    <w:pPr>
      <w:ind w:left="357"/>
    </w:pPr>
  </w:style>
  <w:style w:type="character" w:customStyle="1" w:styleId="BodyTextIndentChar">
    <w:name w:val="Body Text Indent Char"/>
    <w:basedOn w:val="DefaultParagraphFont"/>
    <w:link w:val="BodyTextIndent"/>
    <w:uiPriority w:val="1"/>
    <w:rsid w:val="002F075A"/>
    <w:rPr>
      <w:sz w:val="24"/>
    </w:rPr>
  </w:style>
  <w:style w:type="paragraph" w:styleId="ListBullet">
    <w:name w:val="List Bullet"/>
    <w:basedOn w:val="BodyText"/>
    <w:uiPriority w:val="2"/>
    <w:qFormat/>
    <w:rsid w:val="00446DDB"/>
    <w:pPr>
      <w:numPr>
        <w:numId w:val="1"/>
      </w:numPr>
      <w:contextualSpacing/>
    </w:pPr>
  </w:style>
  <w:style w:type="paragraph" w:styleId="ListBullet2">
    <w:name w:val="List Bullet 2"/>
    <w:uiPriority w:val="2"/>
    <w:qFormat/>
    <w:rsid w:val="00446DDB"/>
    <w:pPr>
      <w:numPr>
        <w:numId w:val="2"/>
      </w:numPr>
      <w:spacing w:after="240" w:line="276" w:lineRule="auto"/>
      <w:contextualSpacing/>
    </w:pPr>
    <w:rPr>
      <w:sz w:val="24"/>
    </w:rPr>
  </w:style>
  <w:style w:type="paragraph" w:styleId="ListNumber">
    <w:name w:val="List Number"/>
    <w:basedOn w:val="BodyText"/>
    <w:uiPriority w:val="1"/>
    <w:qFormat/>
    <w:rsid w:val="002F075A"/>
    <w:pPr>
      <w:numPr>
        <w:numId w:val="3"/>
      </w:numPr>
    </w:pPr>
  </w:style>
  <w:style w:type="paragraph" w:styleId="Header">
    <w:name w:val="header"/>
    <w:basedOn w:val="BodyText"/>
    <w:link w:val="HeaderChar"/>
    <w:uiPriority w:val="8"/>
    <w:semiHidden/>
    <w:rsid w:val="009A1CE1"/>
    <w:pPr>
      <w:spacing w:after="0"/>
      <w:jc w:val="center"/>
    </w:pPr>
    <w:rPr>
      <w:sz w:val="18"/>
    </w:rPr>
  </w:style>
  <w:style w:type="character" w:customStyle="1" w:styleId="HeaderChar">
    <w:name w:val="Header Char"/>
    <w:basedOn w:val="DefaultParagraphFont"/>
    <w:link w:val="Header"/>
    <w:uiPriority w:val="8"/>
    <w:semiHidden/>
    <w:rsid w:val="00BC4DBC"/>
    <w:rPr>
      <w:sz w:val="18"/>
    </w:rPr>
  </w:style>
  <w:style w:type="paragraph" w:styleId="Footer">
    <w:name w:val="footer"/>
    <w:basedOn w:val="BodyText"/>
    <w:link w:val="FooterChar"/>
    <w:uiPriority w:val="8"/>
    <w:semiHidden/>
    <w:rsid w:val="00990242"/>
    <w:pPr>
      <w:spacing w:after="0" w:line="240" w:lineRule="auto"/>
      <w:jc w:val="center"/>
    </w:pPr>
    <w:rPr>
      <w:b/>
    </w:rPr>
  </w:style>
  <w:style w:type="character" w:customStyle="1" w:styleId="FooterChar">
    <w:name w:val="Footer Char"/>
    <w:basedOn w:val="DefaultParagraphFont"/>
    <w:link w:val="Footer"/>
    <w:uiPriority w:val="8"/>
    <w:semiHidden/>
    <w:rsid w:val="00BC4DBC"/>
    <w:rPr>
      <w:b/>
      <w:sz w:val="24"/>
    </w:rPr>
  </w:style>
  <w:style w:type="paragraph" w:styleId="TOC1">
    <w:name w:val="toc 1"/>
    <w:basedOn w:val="BodyText"/>
    <w:uiPriority w:val="39"/>
    <w:semiHidden/>
    <w:rsid w:val="003D27AC"/>
    <w:pPr>
      <w:tabs>
        <w:tab w:val="right" w:pos="9639"/>
      </w:tabs>
      <w:spacing w:before="240" w:after="120"/>
    </w:pPr>
    <w:rPr>
      <w:b/>
    </w:rPr>
  </w:style>
  <w:style w:type="paragraph" w:styleId="TOC2">
    <w:name w:val="toc 2"/>
    <w:basedOn w:val="TOC1"/>
    <w:next w:val="BodyText"/>
    <w:uiPriority w:val="39"/>
    <w:semiHidden/>
    <w:rsid w:val="003D27AC"/>
    <w:pPr>
      <w:spacing w:before="0"/>
    </w:pPr>
    <w:rPr>
      <w:b w:val="0"/>
    </w:rPr>
  </w:style>
  <w:style w:type="character" w:styleId="Hyperlink">
    <w:name w:val="Hyperlink"/>
    <w:uiPriority w:val="7"/>
    <w:unhideWhenUsed/>
    <w:rsid w:val="00990242"/>
    <w:rPr>
      <w:color w:val="00B1EB" w:themeColor="hyperlink"/>
      <w:u w:val="single"/>
    </w:rPr>
  </w:style>
  <w:style w:type="paragraph" w:customStyle="1" w:styleId="EmphasisHeading">
    <w:name w:val="Emphasis Heading"/>
    <w:basedOn w:val="BodyText"/>
    <w:next w:val="EmphasisText"/>
    <w:uiPriority w:val="3"/>
    <w:qFormat/>
    <w:rsid w:val="00BA679C"/>
    <w:pPr>
      <w:keepNext/>
      <w:keepLines/>
      <w:pBdr>
        <w:top w:val="single" w:sz="48" w:space="6" w:color="F0FAFE"/>
        <w:left w:val="single" w:sz="48" w:space="4" w:color="F0FAFE"/>
        <w:bottom w:val="single" w:sz="48" w:space="6" w:color="F0FAFE"/>
        <w:right w:val="single" w:sz="48" w:space="4" w:color="F0FAFE"/>
      </w:pBdr>
      <w:shd w:val="clear" w:color="auto" w:fill="F0FAFE"/>
      <w:spacing w:before="240"/>
      <w:ind w:left="199"/>
    </w:pPr>
    <w:rPr>
      <w:b/>
      <w:color w:val="003057"/>
    </w:rPr>
  </w:style>
  <w:style w:type="paragraph" w:customStyle="1" w:styleId="EmphasisText">
    <w:name w:val="Emphasis Text"/>
    <w:basedOn w:val="BodyText"/>
    <w:uiPriority w:val="3"/>
    <w:qFormat/>
    <w:rsid w:val="00BA679C"/>
    <w:pPr>
      <w:keepLines/>
      <w:pBdr>
        <w:top w:val="single" w:sz="48" w:space="6" w:color="F0FAFE"/>
        <w:left w:val="single" w:sz="48" w:space="4" w:color="F0FAFE"/>
        <w:bottom w:val="single" w:sz="48" w:space="6" w:color="F0FAFE"/>
        <w:right w:val="single" w:sz="48" w:space="4" w:color="F0FAFE"/>
      </w:pBdr>
      <w:shd w:val="clear" w:color="auto" w:fill="F0FAFE"/>
      <w:ind w:left="199"/>
    </w:pPr>
    <w:rPr>
      <w:color w:val="003057"/>
    </w:rPr>
  </w:style>
  <w:style w:type="table" w:styleId="TableGrid">
    <w:name w:val="Table Grid"/>
    <w:basedOn w:val="TableNormal"/>
    <w:uiPriority w:val="39"/>
    <w:rsid w:val="00BA679C"/>
    <w:pPr>
      <w:spacing w:after="0" w:line="240" w:lineRule="auto"/>
    </w:pPr>
    <w:tblPr>
      <w:tblBorders>
        <w:top w:val="single" w:sz="4" w:space="0" w:color="1D609D" w:themeColor="accent1"/>
        <w:left w:val="single" w:sz="4" w:space="0" w:color="1D609D" w:themeColor="accent1"/>
        <w:bottom w:val="single" w:sz="4" w:space="0" w:color="1D609D" w:themeColor="accent1"/>
        <w:right w:val="single" w:sz="4" w:space="0" w:color="1D609D" w:themeColor="accent1"/>
        <w:insideH w:val="single" w:sz="4" w:space="0" w:color="1D609D" w:themeColor="accent1"/>
        <w:insideV w:val="single" w:sz="4" w:space="0" w:color="1D609D" w:themeColor="accent1"/>
      </w:tblBorders>
      <w:tblCellMar>
        <w:top w:w="57" w:type="dxa"/>
        <w:left w:w="57" w:type="dxa"/>
        <w:bottom w:w="57" w:type="dxa"/>
        <w:right w:w="57" w:type="dxa"/>
      </w:tblCellMar>
    </w:tblPr>
    <w:tblStylePr w:type="firstRow">
      <w:pPr>
        <w:keepNext/>
        <w:keepLines/>
        <w:widowControl/>
        <w:wordWrap/>
      </w:pPr>
      <w:rPr>
        <w:b/>
        <w:color w:val="auto"/>
      </w:rPr>
      <w:tblPr/>
      <w:tcPr>
        <w:tcBorders>
          <w:top w:val="single" w:sz="4" w:space="0" w:color="1D609D" w:themeColor="accent1"/>
          <w:left w:val="single" w:sz="4" w:space="0" w:color="1D609D" w:themeColor="accent1"/>
          <w:bottom w:val="single" w:sz="4" w:space="0" w:color="1D609D" w:themeColor="accent1"/>
          <w:right w:val="single" w:sz="4" w:space="0" w:color="1D609D" w:themeColor="accent1"/>
          <w:insideH w:val="single" w:sz="4" w:space="0" w:color="1D609D" w:themeColor="accent1"/>
          <w:insideV w:val="single" w:sz="4" w:space="0" w:color="1D609D" w:themeColor="accent1"/>
          <w:tl2br w:val="nil"/>
          <w:tr2bl w:val="nil"/>
        </w:tcBorders>
        <w:shd w:val="clear" w:color="auto" w:fill="F0FAFE"/>
      </w:tcPr>
    </w:tblStylePr>
    <w:tblStylePr w:type="firstCol">
      <w:rPr>
        <w:b/>
        <w:i w:val="0"/>
      </w:rPr>
    </w:tblStylePr>
  </w:style>
  <w:style w:type="paragraph" w:customStyle="1" w:styleId="Covertext">
    <w:name w:val="Cover text"/>
    <w:basedOn w:val="BodyText"/>
    <w:uiPriority w:val="8"/>
    <w:semiHidden/>
    <w:qFormat/>
    <w:rsid w:val="00AE4DF7"/>
    <w:pPr>
      <w:spacing w:after="0"/>
    </w:pPr>
    <w:rPr>
      <w:color w:val="FFFFFF" w:themeColor="background1"/>
    </w:rPr>
  </w:style>
  <w:style w:type="character" w:styleId="UnresolvedMention">
    <w:name w:val="Unresolved Mention"/>
    <w:basedOn w:val="DefaultParagraphFont"/>
    <w:uiPriority w:val="99"/>
    <w:semiHidden/>
    <w:rsid w:val="00AD52C7"/>
    <w:rPr>
      <w:color w:val="808080"/>
      <w:shd w:val="clear" w:color="auto" w:fill="E6E6E6"/>
    </w:rPr>
  </w:style>
  <w:style w:type="paragraph" w:styleId="ListParagraph">
    <w:name w:val="List Paragraph"/>
    <w:basedOn w:val="Normal"/>
    <w:uiPriority w:val="34"/>
    <w:qFormat/>
    <w:rsid w:val="002C1ADE"/>
    <w:pPr>
      <w:spacing w:after="160" w:line="259" w:lineRule="auto"/>
      <w:ind w:left="720"/>
      <w:contextualSpacing/>
    </w:pPr>
    <w:rPr>
      <w:sz w:val="22"/>
    </w:rPr>
  </w:style>
  <w:style w:type="paragraph" w:customStyle="1" w:styleId="FooterConfidentiality">
    <w:name w:val="FooterConfidentiality"/>
    <w:basedOn w:val="Normal"/>
    <w:rsid w:val="00E974C4"/>
    <w:pPr>
      <w:spacing w:after="0" w:line="240" w:lineRule="auto"/>
      <w:ind w:left="567"/>
      <w:jc w:val="center"/>
    </w:pPr>
    <w:rPr>
      <w:rFonts w:ascii="Arial" w:eastAsia="Times" w:hAnsi="Arial" w:cs="Times New Roman"/>
      <w:b/>
      <w:sz w:val="22"/>
    </w:rPr>
  </w:style>
  <w:style w:type="character" w:styleId="CommentReference">
    <w:name w:val="annotation reference"/>
    <w:basedOn w:val="DefaultParagraphFont"/>
    <w:uiPriority w:val="99"/>
    <w:semiHidden/>
    <w:rsid w:val="005238A7"/>
    <w:rPr>
      <w:sz w:val="16"/>
      <w:szCs w:val="16"/>
    </w:rPr>
  </w:style>
  <w:style w:type="paragraph" w:styleId="CommentText">
    <w:name w:val="annotation text"/>
    <w:basedOn w:val="Normal"/>
    <w:link w:val="CommentTextChar"/>
    <w:uiPriority w:val="99"/>
    <w:semiHidden/>
    <w:rsid w:val="005238A7"/>
    <w:pPr>
      <w:spacing w:line="240" w:lineRule="auto"/>
    </w:pPr>
    <w:rPr>
      <w:sz w:val="20"/>
      <w:szCs w:val="20"/>
    </w:rPr>
  </w:style>
  <w:style w:type="character" w:customStyle="1" w:styleId="CommentTextChar">
    <w:name w:val="Comment Text Char"/>
    <w:basedOn w:val="DefaultParagraphFont"/>
    <w:link w:val="CommentText"/>
    <w:uiPriority w:val="99"/>
    <w:semiHidden/>
    <w:rsid w:val="005238A7"/>
    <w:rPr>
      <w:sz w:val="20"/>
      <w:szCs w:val="20"/>
    </w:rPr>
  </w:style>
  <w:style w:type="paragraph" w:styleId="CommentSubject">
    <w:name w:val="annotation subject"/>
    <w:basedOn w:val="CommentText"/>
    <w:next w:val="CommentText"/>
    <w:link w:val="CommentSubjectChar"/>
    <w:uiPriority w:val="99"/>
    <w:semiHidden/>
    <w:rsid w:val="005238A7"/>
    <w:rPr>
      <w:b/>
      <w:bCs/>
    </w:rPr>
  </w:style>
  <w:style w:type="character" w:customStyle="1" w:styleId="CommentSubjectChar">
    <w:name w:val="Comment Subject Char"/>
    <w:basedOn w:val="CommentTextChar"/>
    <w:link w:val="CommentSubject"/>
    <w:uiPriority w:val="99"/>
    <w:semiHidden/>
    <w:rsid w:val="005238A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190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s11l\Downloads\word-short-report-template%20(1).dotx" TargetMode="External"/></Relationships>
</file>

<file path=word/theme/theme1.xml><?xml version="1.0" encoding="utf-8"?>
<a:theme xmlns:a="http://schemas.openxmlformats.org/drawingml/2006/main" name="Office Theme">
  <a:themeElements>
    <a:clrScheme name="MoJ">
      <a:dk1>
        <a:sysClr val="windowText" lastClr="000000"/>
      </a:dk1>
      <a:lt1>
        <a:sysClr val="window" lastClr="FFFFFF"/>
      </a:lt1>
      <a:dk2>
        <a:srgbClr val="000000"/>
      </a:dk2>
      <a:lt2>
        <a:srgbClr val="FFFFFF"/>
      </a:lt2>
      <a:accent1>
        <a:srgbClr val="1D609D"/>
      </a:accent1>
      <a:accent2>
        <a:srgbClr val="30AA51"/>
      </a:accent2>
      <a:accent3>
        <a:srgbClr val="E9426E"/>
      </a:accent3>
      <a:accent4>
        <a:srgbClr val="565B96"/>
      </a:accent4>
      <a:accent5>
        <a:srgbClr val="00A5A1"/>
      </a:accent5>
      <a:accent6>
        <a:srgbClr val="EE7127"/>
      </a:accent6>
      <a:hlink>
        <a:srgbClr val="00B1EB"/>
      </a:hlink>
      <a:folHlink>
        <a:srgbClr val="00B1EB"/>
      </a:folHlink>
    </a:clrScheme>
    <a:fontScheme name="MoJ">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a67c0736-5c7f-4174-8dcd-78baf74714be">ZDV4A27QRQCP-1720493609-1223</_dlc_DocId>
    <_dlc_DocIdUrl xmlns="a67c0736-5c7f-4174-8dcd-78baf74714be">
      <Url>https://nationalarchivesuk.sharepoint.com/sites/LPD_DB/_layouts/15/DocIdRedir.aspx?ID=ZDV4A27QRQCP-1720493609-1223</Url>
      <Description>ZDV4A27QRQCP-1720493609-1223</Description>
    </_dlc_DocIdUrl>
    <_dlc_DocIdPersistId xmlns="a67c0736-5c7f-4174-8dcd-78baf74714be">false</_dlc_DocIdPersistId>
    <TaxCatchAll xmlns="a67c0736-5c7f-4174-8dcd-78baf74714be" xsi:nil="true"/>
    <lcf76f155ced4ddcb4097134ff3c332f xmlns="20068350-b3b9-4cf4-9a4f-936a94cf848d">
      <Terms xmlns="http://schemas.microsoft.com/office/infopath/2007/PartnerControls"/>
    </lcf76f155ced4ddcb4097134ff3c332f>
    <IconOverlay xmlns="http://schemas.microsoft.com/sharepoint/v4"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FFA2204C6E8CD747AE4CED5549C70A62" ma:contentTypeVersion="69" ma:contentTypeDescription="Create a new document." ma:contentTypeScope="" ma:versionID="9880119b2abea505bc9b4a073d04326f">
  <xsd:schema xmlns:xsd="http://www.w3.org/2001/XMLSchema" xmlns:xs="http://www.w3.org/2001/XMLSchema" xmlns:p="http://schemas.microsoft.com/office/2006/metadata/properties" xmlns:ns1="http://schemas.microsoft.com/sharepoint/v3" xmlns:ns2="a67c0736-5c7f-4174-8dcd-78baf74714be" xmlns:ns3="20068350-b3b9-4cf4-9a4f-936a94cf848d" xmlns:ns4="http://schemas.microsoft.com/sharepoint/v4" targetNamespace="http://schemas.microsoft.com/office/2006/metadata/properties" ma:root="true" ma:fieldsID="5b83cc11e3b316f454b5e5824e9625cd" ns1:_="" ns2:_="" ns3:_="" ns4:_="">
    <xsd:import namespace="http://schemas.microsoft.com/sharepoint/v3"/>
    <xsd:import namespace="a67c0736-5c7f-4174-8dcd-78baf74714be"/>
    <xsd:import namespace="20068350-b3b9-4cf4-9a4f-936a94cf848d"/>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2:SharedWithUsers" minOccurs="0"/>
                <xsd:element ref="ns2:SharedWithDetails" minOccurs="0"/>
                <xsd:element ref="ns1:TagEventDate" minOccurs="0"/>
                <xsd:element ref="ns3:MediaServiceObjectDetectorVersions" minOccurs="0"/>
                <xsd:element ref="ns4:IconOverlay" minOccurs="0"/>
                <xsd:element ref="ns3:MediaServiceSearchPropertie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TagEventDate" ma:index="19" nillable="true" ma:displayName="Label Event Date" ma:hidden="true" ma:internalName="TagEventDate" ma:readOnly="true">
      <xsd:simpleType>
        <xsd:restriction base="dms:DateTime"/>
      </xsd:simpleType>
    </xsd:element>
    <xsd:element name="_ip_UnifiedCompliancePolicyProperties" ma:index="29" nillable="true" ma:displayName="Unified Compliance Policy Properties" ma:hidden="true" ma:internalName="_ip_UnifiedCompliancePolicyProperties">
      <xsd:simpleType>
        <xsd:restriction base="dms:Note"/>
      </xsd:simpleType>
    </xsd:element>
    <xsd:element name="_ip_UnifiedCompliancePolicyUIAction" ma:index="3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7c0736-5c7f-4174-8dcd-78baf74714b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8965e5c-766e-4361-8198-20d2f5dfe1ac}" ma:internalName="TaxCatchAll" ma:showField="CatchAllData" ma:web="a67c0736-5c7f-4174-8dcd-78baf74714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068350-b3b9-4cf4-9a4f-936a94cf848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0c0fc91-5178-4f65-8d1d-944e60792c5e"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A9107A-2EA3-4C93-9BFD-A788C2E19A97}">
  <ds:schemaRefs>
    <ds:schemaRef ds:uri="http://schemas.microsoft.com/sharepoint/v3"/>
    <ds:schemaRef ds:uri="a67c0736-5c7f-4174-8dcd-78baf74714be"/>
    <ds:schemaRef ds:uri="http://schemas.microsoft.com/office/infopath/2007/PartnerControls"/>
    <ds:schemaRef ds:uri="http://www.w3.org/XML/1998/namespace"/>
    <ds:schemaRef ds:uri="http://schemas.microsoft.com/office/2006/metadata/properties"/>
    <ds:schemaRef ds:uri="http://schemas.microsoft.com/office/2006/documentManagement/types"/>
    <ds:schemaRef ds:uri="http://purl.org/dc/elements/1.1/"/>
    <ds:schemaRef ds:uri="425c1dc1-cb17-4355-8a45-a2cc51966251"/>
    <ds:schemaRef ds:uri="http://purl.org/dc/dcmityp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404521FA-0D20-4681-84AF-1D422B1F78E3}">
  <ds:schemaRefs>
    <ds:schemaRef ds:uri="http://schemas.microsoft.com/sharepoint/v3/contenttype/forms"/>
  </ds:schemaRefs>
</ds:datastoreItem>
</file>

<file path=customXml/itemProps3.xml><?xml version="1.0" encoding="utf-8"?>
<ds:datastoreItem xmlns:ds="http://schemas.openxmlformats.org/officeDocument/2006/customXml" ds:itemID="{B1A50EB1-6C09-4C5E-9B2F-7D004AADB132}">
  <ds:schemaRefs>
    <ds:schemaRef ds:uri="http://schemas.microsoft.com/sharepoint/events"/>
  </ds:schemaRefs>
</ds:datastoreItem>
</file>

<file path=customXml/itemProps4.xml><?xml version="1.0" encoding="utf-8"?>
<ds:datastoreItem xmlns:ds="http://schemas.openxmlformats.org/officeDocument/2006/customXml" ds:itemID="{7ECEB441-8E69-47A5-9335-F364EE1245A9}">
  <ds:schemaRefs>
    <ds:schemaRef ds:uri="http://schemas.openxmlformats.org/officeDocument/2006/bibliography"/>
  </ds:schemaRefs>
</ds:datastoreItem>
</file>

<file path=customXml/itemProps5.xml><?xml version="1.0" encoding="utf-8"?>
<ds:datastoreItem xmlns:ds="http://schemas.openxmlformats.org/officeDocument/2006/customXml" ds:itemID="{05A80F60-8C9F-42A6-A601-6C2116251D18}"/>
</file>

<file path=docMetadata/LabelInfo.xml><?xml version="1.0" encoding="utf-8"?>
<clbl:labelList xmlns:clbl="http://schemas.microsoft.com/office/2020/mipLabelMetadata">
  <clbl:label id="{61c22e59-6e76-40e7-9277-37c464fc6354}" enabled="1" method="Privileged" siteId="{f99512c1-fd9f-4475-9896-9a0b3cdc50ec}" contentBits="0" removed="0"/>
</clbl:labelList>
</file>

<file path=docProps/app.xml><?xml version="1.0" encoding="utf-8"?>
<Properties xmlns="http://schemas.openxmlformats.org/officeDocument/2006/extended-properties" xmlns:vt="http://schemas.openxmlformats.org/officeDocument/2006/docPropsVTypes">
  <Template>word-short-report-template (1)</Template>
  <TotalTime>0</TotalTime>
  <Pages>6</Pages>
  <Words>1614</Words>
  <Characters>9206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[Title]</vt:lpstr>
    </vt:vector>
  </TitlesOfParts>
  <Manager>Ministry of Justice</Manager>
  <Company>Ministry of Justice</Company>
  <LinksUpToDate>false</LinksUpToDate>
  <CharactersWithSpaces>10799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or description]</dc:subject>
  <dc:creator>Miller, Ingrid</dc:creator>
  <cp:keywords>[Key words for search engines, separated by commas]</cp:keywords>
  <dc:description/>
  <cp:lastModifiedBy>Page, Zephan</cp:lastModifiedBy>
  <cp:revision>2</cp:revision>
  <dcterms:created xsi:type="dcterms:W3CDTF">2025-10-17T08:43:00Z</dcterms:created>
  <dcterms:modified xsi:type="dcterms:W3CDTF">2025-10-17T08:43:00Z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0x010100FFA2204C6E8CD747AE4CED5549C70A62</vt:lpwstr>
  </property>
  <property fmtid="{D5CDD505-2E9C-101B-9397-08002B2CF9AE}" pid="3" name="_dlc_DocIdItemGuid">
    <vt:lpwstr>e956743c-40a9-41f9-bce4-672c393bdb8f</vt:lpwstr>
  </property>
  <property fmtid="{D5CDD505-2E9C-101B-9397-08002B2CF9AE}" pid="4" name="Objective_id_target">
    <vt:lpwstr/>
  </property>
  <property fmtid="{D5CDD505-2E9C-101B-9397-08002B2CF9AE}" pid="5" name="Objective_created_by">
    <vt:lpwstr/>
  </property>
  <property fmtid="{D5CDD505-2E9C-101B-9397-08002B2CF9AE}" pid="6" name="Objective_id">
    <vt:lpwstr/>
  </property>
  <property fmtid="{D5CDD505-2E9C-101B-9397-08002B2CF9AE}" pid="7" name="From1">
    <vt:lpwstr/>
  </property>
  <property fmtid="{D5CDD505-2E9C-101B-9397-08002B2CF9AE}" pid="8" name="xd_ProgID">
    <vt:lpwstr/>
  </property>
  <property fmtid="{D5CDD505-2E9C-101B-9397-08002B2CF9AE}" pid="9" name="_dlc_Exempt">
    <vt:bool>false</vt:bool>
  </property>
  <property fmtid="{D5CDD505-2E9C-101B-9397-08002B2CF9AE}" pid="10" name="ComplianceAssetId">
    <vt:lpwstr/>
  </property>
  <property fmtid="{D5CDD505-2E9C-101B-9397-08002B2CF9AE}" pid="11" name="TemplateUrl">
    <vt:lpwstr/>
  </property>
  <property fmtid="{D5CDD505-2E9C-101B-9397-08002B2CF9AE}" pid="12" name="Objective_repository">
    <vt:lpwstr/>
  </property>
  <property fmtid="{D5CDD505-2E9C-101B-9397-08002B2CF9AE}" pid="13" name="Has Attachments">
    <vt:bool>false</vt:bool>
  </property>
  <property fmtid="{D5CDD505-2E9C-101B-9397-08002B2CF9AE}" pid="14" name="_ExtendedDescription">
    <vt:lpwstr/>
  </property>
  <property fmtid="{D5CDD505-2E9C-101B-9397-08002B2CF9AE}" pid="15" name="Objective_doc_extension">
    <vt:lpwstr/>
  </property>
  <property fmtid="{D5CDD505-2E9C-101B-9397-08002B2CF9AE}" pid="16" name="ConversationID">
    <vt:lpwstr/>
  </property>
  <property fmtid="{D5CDD505-2E9C-101B-9397-08002B2CF9AE}" pid="17" name="Notes1">
    <vt:lpwstr/>
  </property>
  <property fmtid="{D5CDD505-2E9C-101B-9397-08002B2CF9AE}" pid="18" name="URL">
    <vt:lpwstr/>
  </property>
  <property fmtid="{D5CDD505-2E9C-101B-9397-08002B2CF9AE}" pid="19" name="xd_Signature">
    <vt:bool>false</vt:bool>
  </property>
  <property fmtid="{D5CDD505-2E9C-101B-9397-08002B2CF9AE}" pid="20" name="BCC">
    <vt:lpwstr/>
  </property>
  <property fmtid="{D5CDD505-2E9C-101B-9397-08002B2CF9AE}" pid="21" name="Objective_filepath">
    <vt:lpwstr/>
  </property>
  <property fmtid="{D5CDD505-2E9C-101B-9397-08002B2CF9AE}" pid="22" name="Reason_for_closire">
    <vt:lpwstr/>
  </property>
  <property fmtid="{D5CDD505-2E9C-101B-9397-08002B2CF9AE}" pid="23" name="Objective_modified_by">
    <vt:lpwstr/>
  </property>
  <property fmtid="{D5CDD505-2E9C-101B-9397-08002B2CF9AE}" pid="24" name="Objective_disposal_schedule">
    <vt:lpwstr/>
  </property>
  <property fmtid="{D5CDD505-2E9C-101B-9397-08002B2CF9AE}" pid="25" name="CC">
    <vt:lpwstr/>
  </property>
  <property fmtid="{D5CDD505-2E9C-101B-9397-08002B2CF9AE}" pid="26" name="Protective Marking">
    <vt:lpwstr/>
  </property>
  <property fmtid="{D5CDD505-2E9C-101B-9397-08002B2CF9AE}" pid="27" name="To">
    <vt:lpwstr/>
  </property>
  <property fmtid="{D5CDD505-2E9C-101B-9397-08002B2CF9AE}" pid="28" name="Objective_manually_sentenced">
    <vt:lpwstr/>
  </property>
  <property fmtid="{D5CDD505-2E9C-101B-9397-08002B2CF9AE}" pid="29" name="TriggerFlowInfo">
    <vt:lpwstr/>
  </property>
  <property fmtid="{D5CDD505-2E9C-101B-9397-08002B2CF9AE}" pid="30" name="Objective_template">
    <vt:lpwstr/>
  </property>
</Properties>
</file>