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1BCC" w14:textId="77777777" w:rsidR="00775562" w:rsidRDefault="00775562" w:rsidP="00332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469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eclosure figures for 2019</w:t>
      </w:r>
    </w:p>
    <w:p w14:paraId="164D50AE" w14:textId="77777777" w:rsidR="00775562" w:rsidRPr="0099469E" w:rsidRDefault="00775562" w:rsidP="00332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1CE885" w14:textId="77777777" w:rsidR="00775562" w:rsidRDefault="00775562" w:rsidP="0033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0F35">
        <w:rPr>
          <w:rFonts w:ascii="Arial" w:hAnsi="Arial" w:cs="Arial"/>
          <w:sz w:val="24"/>
          <w:szCs w:val="24"/>
        </w:rPr>
        <w:t>6</w:t>
      </w:r>
      <w:r w:rsidRPr="0099469E">
        <w:rPr>
          <w:rFonts w:ascii="Arial" w:hAnsi="Arial" w:cs="Arial"/>
          <w:sz w:val="24"/>
          <w:szCs w:val="24"/>
        </w:rPr>
        <w:t xml:space="preserve"> cases we</w:t>
      </w:r>
      <w:r w:rsidR="00332D6F">
        <w:rPr>
          <w:rFonts w:ascii="Arial" w:hAnsi="Arial" w:cs="Arial"/>
          <w:sz w:val="24"/>
          <w:szCs w:val="24"/>
        </w:rPr>
        <w:t>re presented to</w:t>
      </w:r>
      <w:r>
        <w:rPr>
          <w:rFonts w:ascii="Arial" w:hAnsi="Arial" w:cs="Arial"/>
          <w:sz w:val="24"/>
          <w:szCs w:val="24"/>
        </w:rPr>
        <w:t xml:space="preserve"> the Reclosure Panel in 2019.</w:t>
      </w:r>
    </w:p>
    <w:p w14:paraId="031110D5" w14:textId="77777777" w:rsidR="003807A6" w:rsidRDefault="003807A6" w:rsidP="0033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BF7F0A" w14:textId="77777777" w:rsidR="003807A6" w:rsidRDefault="003807A6" w:rsidP="0033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those 26 cases:</w:t>
      </w:r>
    </w:p>
    <w:p w14:paraId="0D797D4D" w14:textId="77777777" w:rsidR="00775562" w:rsidRDefault="00775562" w:rsidP="0033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8B537" w14:textId="77777777" w:rsidR="00775562" w:rsidRPr="0099469E" w:rsidRDefault="00060F35" w:rsidP="00332D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75562" w:rsidRPr="0099469E">
        <w:rPr>
          <w:rFonts w:ascii="Arial" w:hAnsi="Arial" w:cs="Arial"/>
          <w:sz w:val="24"/>
          <w:szCs w:val="24"/>
        </w:rPr>
        <w:t xml:space="preserve"> cases resulted in full closure. See Annex A for breakdown of figures</w:t>
      </w:r>
    </w:p>
    <w:p w14:paraId="16DCA1FA" w14:textId="77777777" w:rsidR="00775562" w:rsidRPr="0099469E" w:rsidRDefault="00775562" w:rsidP="00332D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93EA0A1" w14:textId="77777777" w:rsidR="003A1277" w:rsidRPr="00D2223C" w:rsidRDefault="00060F35" w:rsidP="00332D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775562" w:rsidRPr="003A1277">
        <w:rPr>
          <w:rFonts w:ascii="Arial" w:hAnsi="Arial" w:cs="Arial"/>
          <w:sz w:val="24"/>
          <w:szCs w:val="24"/>
        </w:rPr>
        <w:t xml:space="preserve"> cases resulted in </w:t>
      </w:r>
      <w:r w:rsidR="00FB3B4E">
        <w:rPr>
          <w:rFonts w:ascii="Arial" w:hAnsi="Arial" w:cs="Arial"/>
          <w:sz w:val="24"/>
          <w:szCs w:val="24"/>
        </w:rPr>
        <w:t xml:space="preserve">partial closure </w:t>
      </w:r>
      <w:r w:rsidR="004D0D30">
        <w:rPr>
          <w:rFonts w:ascii="Arial" w:hAnsi="Arial" w:cs="Arial"/>
          <w:sz w:val="24"/>
          <w:szCs w:val="24"/>
        </w:rPr>
        <w:t>(</w:t>
      </w:r>
      <w:r w:rsidR="00FB3B4E">
        <w:rPr>
          <w:rFonts w:ascii="Arial" w:hAnsi="Arial" w:cs="Arial"/>
          <w:sz w:val="24"/>
          <w:szCs w:val="24"/>
        </w:rPr>
        <w:t xml:space="preserve">i.e. redaction </w:t>
      </w:r>
      <w:r w:rsidR="00775562" w:rsidRPr="003A1277">
        <w:rPr>
          <w:rFonts w:ascii="Arial" w:hAnsi="Arial" w:cs="Arial"/>
          <w:sz w:val="24"/>
          <w:szCs w:val="24"/>
        </w:rPr>
        <w:t>o</w:t>
      </w:r>
      <w:r w:rsidR="00FB3B4E">
        <w:rPr>
          <w:rFonts w:ascii="Arial" w:hAnsi="Arial" w:cs="Arial"/>
          <w:sz w:val="24"/>
          <w:szCs w:val="24"/>
        </w:rPr>
        <w:t>f</w:t>
      </w:r>
      <w:r w:rsidR="00775562" w:rsidRPr="003A1277">
        <w:rPr>
          <w:rFonts w:ascii="Arial" w:hAnsi="Arial" w:cs="Arial"/>
          <w:sz w:val="24"/>
          <w:szCs w:val="24"/>
        </w:rPr>
        <w:t xml:space="preserve"> sensitive information </w:t>
      </w:r>
      <w:r w:rsidR="00775562" w:rsidRPr="00D2223C">
        <w:rPr>
          <w:rFonts w:ascii="Arial" w:hAnsi="Arial" w:cs="Arial"/>
          <w:sz w:val="24"/>
          <w:szCs w:val="24"/>
        </w:rPr>
        <w:t>with the re</w:t>
      </w:r>
      <w:r w:rsidR="00332D6F" w:rsidRPr="00D2223C">
        <w:rPr>
          <w:rFonts w:ascii="Arial" w:hAnsi="Arial" w:cs="Arial"/>
          <w:sz w:val="24"/>
          <w:szCs w:val="24"/>
        </w:rPr>
        <w:t>mainder</w:t>
      </w:r>
      <w:r w:rsidR="00775562" w:rsidRPr="00D2223C">
        <w:rPr>
          <w:rFonts w:ascii="Arial" w:hAnsi="Arial" w:cs="Arial"/>
          <w:sz w:val="24"/>
          <w:szCs w:val="24"/>
        </w:rPr>
        <w:t xml:space="preserve"> of the file re</w:t>
      </w:r>
      <w:r w:rsidR="004D0D30" w:rsidRPr="00D2223C">
        <w:rPr>
          <w:rFonts w:ascii="Arial" w:hAnsi="Arial" w:cs="Arial"/>
          <w:sz w:val="24"/>
          <w:szCs w:val="24"/>
        </w:rPr>
        <w:t>maining</w:t>
      </w:r>
      <w:r w:rsidR="00775562" w:rsidRPr="00D2223C">
        <w:rPr>
          <w:rFonts w:ascii="Arial" w:hAnsi="Arial" w:cs="Arial"/>
          <w:sz w:val="24"/>
          <w:szCs w:val="24"/>
        </w:rPr>
        <w:t xml:space="preserve"> open</w:t>
      </w:r>
      <w:r w:rsidR="004D0D30" w:rsidRPr="00D2223C">
        <w:rPr>
          <w:rFonts w:ascii="Arial" w:hAnsi="Arial" w:cs="Arial"/>
          <w:sz w:val="24"/>
          <w:szCs w:val="24"/>
        </w:rPr>
        <w:t>)</w:t>
      </w:r>
      <w:r w:rsidR="00775562" w:rsidRPr="00D2223C">
        <w:rPr>
          <w:rFonts w:ascii="Arial" w:hAnsi="Arial" w:cs="Arial"/>
          <w:sz w:val="24"/>
          <w:szCs w:val="24"/>
        </w:rPr>
        <w:t>. See Annex B for breakdown of figures</w:t>
      </w:r>
    </w:p>
    <w:p w14:paraId="62A50BCA" w14:textId="77777777" w:rsidR="003A1277" w:rsidRPr="00D2223C" w:rsidRDefault="003A1277" w:rsidP="00332D6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0C23346" w14:textId="77777777" w:rsidR="003A1277" w:rsidRPr="00D2223C" w:rsidRDefault="003A1277" w:rsidP="00332D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3C">
        <w:rPr>
          <w:rFonts w:ascii="Arial" w:hAnsi="Arial" w:cs="Arial"/>
          <w:sz w:val="24"/>
          <w:szCs w:val="24"/>
        </w:rPr>
        <w:t>2 cases required further review (1 review resulted in</w:t>
      </w:r>
      <w:r w:rsidR="00332D6F" w:rsidRPr="00D2223C">
        <w:rPr>
          <w:rFonts w:ascii="Arial" w:hAnsi="Arial" w:cs="Arial"/>
          <w:sz w:val="24"/>
          <w:szCs w:val="24"/>
        </w:rPr>
        <w:t xml:space="preserve"> </w:t>
      </w:r>
      <w:r w:rsidR="004D0D30" w:rsidRPr="00D2223C">
        <w:rPr>
          <w:rFonts w:ascii="Arial" w:hAnsi="Arial" w:cs="Arial"/>
          <w:sz w:val="24"/>
          <w:szCs w:val="24"/>
        </w:rPr>
        <w:t>partial closure</w:t>
      </w:r>
      <w:r w:rsidR="00D2223C">
        <w:rPr>
          <w:rFonts w:ascii="Arial" w:hAnsi="Arial" w:cs="Arial"/>
          <w:sz w:val="24"/>
          <w:szCs w:val="24"/>
        </w:rPr>
        <w:t>;</w:t>
      </w:r>
      <w:r w:rsidR="00D2223C" w:rsidRPr="00D2223C">
        <w:rPr>
          <w:rFonts w:ascii="Arial" w:hAnsi="Arial" w:cs="Arial"/>
          <w:sz w:val="24"/>
          <w:szCs w:val="24"/>
        </w:rPr>
        <w:t xml:space="preserve"> 1 case</w:t>
      </w:r>
      <w:r w:rsidR="00D2223C">
        <w:rPr>
          <w:rFonts w:ascii="Arial" w:hAnsi="Arial" w:cs="Arial"/>
          <w:sz w:val="24"/>
          <w:szCs w:val="24"/>
        </w:rPr>
        <w:t xml:space="preserve"> </w:t>
      </w:r>
      <w:r w:rsidR="00D2223C" w:rsidRPr="00D2223C">
        <w:rPr>
          <w:rFonts w:ascii="Arial" w:hAnsi="Arial" w:cs="Arial"/>
          <w:sz w:val="24"/>
          <w:szCs w:val="24"/>
        </w:rPr>
        <w:t>not concluded due to further research require</w:t>
      </w:r>
      <w:r w:rsidR="00D2223C">
        <w:rPr>
          <w:rFonts w:ascii="Arial" w:hAnsi="Arial" w:cs="Arial"/>
          <w:sz w:val="24"/>
          <w:szCs w:val="24"/>
        </w:rPr>
        <w:t>d</w:t>
      </w:r>
      <w:r w:rsidRPr="00D2223C">
        <w:rPr>
          <w:rFonts w:ascii="Arial" w:hAnsi="Arial" w:cs="Arial"/>
          <w:sz w:val="24"/>
          <w:szCs w:val="24"/>
        </w:rPr>
        <w:t>)</w:t>
      </w:r>
    </w:p>
    <w:p w14:paraId="6535FE09" w14:textId="77777777" w:rsidR="003A1277" w:rsidRPr="003A1277" w:rsidRDefault="003A1277" w:rsidP="0033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F97FA" w14:textId="77777777" w:rsidR="00060F35" w:rsidRDefault="00060F35" w:rsidP="00332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34E1">
        <w:rPr>
          <w:rFonts w:ascii="Arial" w:hAnsi="Arial" w:cs="Arial"/>
          <w:color w:val="000000" w:themeColor="text1"/>
          <w:sz w:val="24"/>
          <w:szCs w:val="24"/>
        </w:rPr>
        <w:t>Freedom of Information Act 2000 exemptions cited as the reason for reclosure:</w:t>
      </w:r>
    </w:p>
    <w:p w14:paraId="6556438F" w14:textId="77777777" w:rsidR="00060F35" w:rsidRDefault="00060F35" w:rsidP="00332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394" w:type="dxa"/>
        <w:tblInd w:w="846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060F35" w:rsidRPr="00FF1A2B" w14:paraId="275B0E96" w14:textId="77777777" w:rsidTr="007F6ABF">
        <w:trPr>
          <w:trHeight w:val="6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BAD0" w14:textId="77777777" w:rsidR="00060F35" w:rsidRPr="00FF1A2B" w:rsidRDefault="00060F35" w:rsidP="00332D6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FOI</w:t>
            </w:r>
            <w:r w:rsidR="00332D6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  <w:r w:rsidR="00332D6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ct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e</w:t>
            </w:r>
            <w:r w:rsidRPr="00FF1A2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xemption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8CB0" w14:textId="77777777" w:rsidR="00332D6F" w:rsidRPr="00FF1A2B" w:rsidRDefault="00060F35" w:rsidP="00332D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Total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no of </w:t>
            </w:r>
            <w:r w:rsidR="00332D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record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s*</w:t>
            </w:r>
          </w:p>
        </w:tc>
      </w:tr>
      <w:tr w:rsidR="00060F35" w:rsidRPr="00FF1A2B" w14:paraId="4E5F0D18" w14:textId="77777777" w:rsidTr="00060F35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5161" w14:textId="77777777" w:rsidR="00060F35" w:rsidRPr="00FF1A2B" w:rsidRDefault="00060F35" w:rsidP="00332D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DB9E" w14:textId="77777777" w:rsidR="00060F35" w:rsidRPr="00FF1A2B" w:rsidRDefault="007D71D7" w:rsidP="00332D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60F35" w:rsidRPr="00FF1A2B" w14:paraId="45511A0E" w14:textId="77777777" w:rsidTr="004D0D30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439C" w14:textId="77777777" w:rsidR="00060F35" w:rsidRPr="00FF1A2B" w:rsidRDefault="00060F35" w:rsidP="00332D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3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951B" w14:textId="77777777" w:rsidR="00060F35" w:rsidRPr="00FF1A2B" w:rsidRDefault="007D71D7" w:rsidP="00332D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060F35" w:rsidRPr="00FF1A2B" w14:paraId="16FB315D" w14:textId="77777777" w:rsidTr="004D0D30">
        <w:trPr>
          <w:trHeight w:val="4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5E7B" w14:textId="77777777" w:rsidR="00060F35" w:rsidRPr="00FF1A2B" w:rsidRDefault="00060F35" w:rsidP="00332D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Section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74E4" w14:textId="77777777" w:rsidR="00060F35" w:rsidRPr="00FF1A2B" w:rsidRDefault="003D5628" w:rsidP="00332D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7D71D7" w:rsidRPr="00FF1A2B" w14:paraId="085FF677" w14:textId="77777777" w:rsidTr="004D0D30">
        <w:trPr>
          <w:trHeight w:val="4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6ACB" w14:textId="77777777" w:rsidR="007D71D7" w:rsidRPr="00FF1A2B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EIR Regulation 13(1)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B573" w14:textId="77777777" w:rsidR="007D71D7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</w:tbl>
    <w:p w14:paraId="647EE61B" w14:textId="77777777" w:rsidR="00775562" w:rsidRDefault="00775562" w:rsidP="0033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4E8075" w14:textId="77777777" w:rsidR="00060F35" w:rsidRPr="005B6B95" w:rsidRDefault="00060F35" w:rsidP="00332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* This figure represents </w:t>
      </w:r>
      <w:r>
        <w:rPr>
          <w:rFonts w:ascii="Arial" w:hAnsi="Arial" w:cs="Arial"/>
          <w:color w:val="000000" w:themeColor="text1"/>
          <w:sz w:val="24"/>
          <w:szCs w:val="24"/>
        </w:rPr>
        <w:t>the number of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2D6F">
        <w:rPr>
          <w:rFonts w:ascii="Arial" w:hAnsi="Arial" w:cs="Arial"/>
          <w:color w:val="000000" w:themeColor="text1"/>
          <w:sz w:val="24"/>
          <w:szCs w:val="24"/>
        </w:rPr>
        <w:t>records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have been closed </w:t>
      </w:r>
      <w:r>
        <w:rPr>
          <w:rFonts w:ascii="Arial" w:hAnsi="Arial" w:cs="Arial"/>
          <w:color w:val="000000" w:themeColor="text1"/>
          <w:sz w:val="24"/>
          <w:szCs w:val="24"/>
        </w:rPr>
        <w:t>under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 each exemption. </w:t>
      </w:r>
      <w:r>
        <w:rPr>
          <w:rFonts w:ascii="Arial" w:hAnsi="Arial" w:cs="Arial"/>
          <w:sz w:val="24"/>
          <w:szCs w:val="24"/>
        </w:rPr>
        <w:t xml:space="preserve">Some </w:t>
      </w:r>
      <w:r w:rsidR="00332D6F">
        <w:rPr>
          <w:rFonts w:ascii="Arial" w:hAnsi="Arial" w:cs="Arial"/>
          <w:sz w:val="24"/>
          <w:szCs w:val="24"/>
        </w:rPr>
        <w:t>records</w:t>
      </w:r>
      <w:r>
        <w:rPr>
          <w:rFonts w:ascii="Arial" w:hAnsi="Arial" w:cs="Arial"/>
          <w:sz w:val="24"/>
          <w:szCs w:val="24"/>
        </w:rPr>
        <w:t xml:space="preserve"> have been closed, or partially closed, under multiple exemptions</w:t>
      </w:r>
      <w:r w:rsidR="007316A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A302DD" w14:textId="77777777" w:rsidR="00205C65" w:rsidRDefault="00205C65" w:rsidP="00332D6F">
      <w:pPr>
        <w:spacing w:after="0" w:line="240" w:lineRule="auto"/>
      </w:pPr>
    </w:p>
    <w:p w14:paraId="79B1A396" w14:textId="77777777" w:rsidR="00332D6F" w:rsidRPr="0099469E" w:rsidRDefault="00332D6F" w:rsidP="00332D6F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469E">
        <w:rPr>
          <w:rFonts w:ascii="Arial" w:hAnsi="Arial" w:cs="Arial"/>
          <w:color w:val="000000" w:themeColor="text1"/>
          <w:sz w:val="24"/>
          <w:szCs w:val="24"/>
        </w:rPr>
        <w:t>Section 23: i</w:t>
      </w:r>
      <w:r w:rsidRPr="0099469E">
        <w:rPr>
          <w:rStyle w:val="legds2"/>
          <w:rFonts w:ascii="Arial" w:hAnsi="Arial" w:cs="Arial"/>
          <w:color w:val="000000"/>
          <w:sz w:val="24"/>
          <w:szCs w:val="24"/>
          <w:lang w:val="en"/>
          <w:specVanish w:val="0"/>
        </w:rPr>
        <w:t>nformation supplied by, or relating to, bodies dealing with security matters</w:t>
      </w:r>
      <w:r w:rsidRPr="009946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EDDA063" w14:textId="77777777" w:rsidR="00332D6F" w:rsidRPr="0099469E" w:rsidRDefault="00332D6F" w:rsidP="00332D6F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5EC937" w14:textId="77777777" w:rsidR="00332D6F" w:rsidRPr="00821305" w:rsidRDefault="00332D6F" w:rsidP="00332D6F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00EC0">
        <w:rPr>
          <w:rFonts w:ascii="Arial" w:hAnsi="Arial" w:cs="Arial"/>
          <w:sz w:val="24"/>
          <w:szCs w:val="24"/>
        </w:rPr>
        <w:t>Section 38:</w:t>
      </w:r>
      <w:r w:rsidR="00C00EC0" w:rsidRPr="00C00EC0">
        <w:rPr>
          <w:rFonts w:ascii="Arial" w:hAnsi="Arial" w:cs="Arial"/>
          <w:sz w:val="24"/>
          <w:szCs w:val="24"/>
          <w:lang w:val="en"/>
        </w:rPr>
        <w:t xml:space="preserve"> health and safety</w:t>
      </w:r>
      <w:r w:rsidR="00821305" w:rsidRPr="00821305">
        <w:rPr>
          <w:rFonts w:ascii="Arial" w:hAnsi="Arial" w:cs="Arial"/>
          <w:sz w:val="24"/>
          <w:szCs w:val="24"/>
        </w:rPr>
        <w:t>. Information is exempt if its disclosure would, or would be likely to endanger the physical or mental health of any individual or endanger the safety of any individual</w:t>
      </w:r>
    </w:p>
    <w:p w14:paraId="5A59EEE3" w14:textId="77777777" w:rsidR="00332D6F" w:rsidRPr="00C00EC0" w:rsidRDefault="00332D6F" w:rsidP="00332D6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72E653D" w14:textId="77777777" w:rsidR="00332D6F" w:rsidRPr="00821305" w:rsidRDefault="00332D6F" w:rsidP="00332D6F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Style w:val="legds2"/>
          <w:rFonts w:ascii="Arial" w:hAnsi="Arial" w:cs="Arial"/>
          <w:sz w:val="24"/>
          <w:szCs w:val="24"/>
        </w:rPr>
      </w:pPr>
      <w:r w:rsidRPr="00C00EC0">
        <w:rPr>
          <w:rFonts w:ascii="Arial" w:hAnsi="Arial" w:cs="Arial"/>
          <w:sz w:val="24"/>
          <w:szCs w:val="24"/>
        </w:rPr>
        <w:t>Se</w:t>
      </w:r>
      <w:r w:rsidR="00C00EC0" w:rsidRPr="00C00EC0">
        <w:rPr>
          <w:rFonts w:ascii="Arial" w:hAnsi="Arial" w:cs="Arial"/>
          <w:sz w:val="24"/>
          <w:szCs w:val="24"/>
        </w:rPr>
        <w:t>ction 40: personal information</w:t>
      </w:r>
      <w:r w:rsidR="00821305">
        <w:rPr>
          <w:rFonts w:ascii="Arial" w:hAnsi="Arial" w:cs="Arial"/>
          <w:sz w:val="24"/>
          <w:szCs w:val="24"/>
        </w:rPr>
        <w:t>.</w:t>
      </w:r>
      <w:r w:rsidR="00821305" w:rsidRPr="00821305">
        <w:t xml:space="preserve"> </w:t>
      </w:r>
      <w:r w:rsidR="00821305" w:rsidRPr="00821305">
        <w:rPr>
          <w:rFonts w:ascii="Arial" w:hAnsi="Arial" w:cs="Arial"/>
          <w:sz w:val="24"/>
          <w:szCs w:val="24"/>
        </w:rPr>
        <w:t>Information is exempt if it constitutes personal data of which the applicant is the data subject</w:t>
      </w:r>
    </w:p>
    <w:p w14:paraId="59EEA8C7" w14:textId="77777777" w:rsidR="003D5628" w:rsidRPr="00C00EC0" w:rsidRDefault="003D5628" w:rsidP="003D5628">
      <w:pPr>
        <w:pStyle w:val="ListParagraph"/>
        <w:rPr>
          <w:rFonts w:ascii="Arial" w:hAnsi="Arial" w:cs="Arial"/>
          <w:sz w:val="24"/>
          <w:szCs w:val="24"/>
        </w:rPr>
      </w:pPr>
    </w:p>
    <w:p w14:paraId="33CDCF68" w14:textId="77777777" w:rsidR="003D5628" w:rsidRPr="00382E25" w:rsidRDefault="003D5628" w:rsidP="00332D6F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82E25">
        <w:rPr>
          <w:rFonts w:ascii="Arial" w:eastAsia="Times New Roman" w:hAnsi="Arial" w:cs="Arial"/>
          <w:bCs/>
          <w:sz w:val="24"/>
          <w:szCs w:val="24"/>
          <w:lang w:eastAsia="en-GB"/>
        </w:rPr>
        <w:t>E</w:t>
      </w:r>
      <w:r w:rsidR="007316A6" w:rsidRPr="00382E2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nvironmental Information </w:t>
      </w:r>
      <w:r w:rsidRPr="00382E25">
        <w:rPr>
          <w:rFonts w:ascii="Arial" w:eastAsia="Times New Roman" w:hAnsi="Arial" w:cs="Arial"/>
          <w:bCs/>
          <w:sz w:val="24"/>
          <w:szCs w:val="24"/>
          <w:lang w:eastAsia="en-GB"/>
        </w:rPr>
        <w:t>Regulation</w:t>
      </w:r>
      <w:r w:rsidR="007316A6" w:rsidRPr="00382E25">
        <w:rPr>
          <w:rFonts w:ascii="Arial" w:eastAsia="Times New Roman" w:hAnsi="Arial" w:cs="Arial"/>
          <w:bCs/>
          <w:sz w:val="24"/>
          <w:szCs w:val="24"/>
          <w:lang w:eastAsia="en-GB"/>
        </w:rPr>
        <w:t>s 2004</w:t>
      </w:r>
      <w:r w:rsidR="004D0D30" w:rsidRPr="00382E2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Section</w:t>
      </w:r>
      <w:r w:rsidRPr="00382E2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13(1</w:t>
      </w:r>
      <w:r w:rsidR="007316A6" w:rsidRPr="00382E25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  <w:r w:rsidRPr="00382E25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7316A6" w:rsidRPr="00382E2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C00EC0" w:rsidRPr="00382E25">
        <w:rPr>
          <w:rFonts w:ascii="Arial" w:eastAsia="Times New Roman" w:hAnsi="Arial" w:cs="Arial"/>
          <w:bCs/>
          <w:sz w:val="24"/>
          <w:szCs w:val="24"/>
          <w:lang w:eastAsia="en-GB"/>
        </w:rPr>
        <w:t>personal data</w:t>
      </w:r>
      <w:r w:rsidR="00382E25" w:rsidRPr="00382E25">
        <w:rPr>
          <w:rFonts w:ascii="Arial" w:eastAsia="Times New Roman" w:hAnsi="Arial" w:cs="Arial"/>
          <w:bCs/>
          <w:sz w:val="24"/>
          <w:szCs w:val="24"/>
          <w:lang w:eastAsia="en-GB"/>
        </w:rPr>
        <w:t>. P</w:t>
      </w:r>
      <w:r w:rsidR="00382E25" w:rsidRPr="00382E25">
        <w:rPr>
          <w:rFonts w:ascii="Arial" w:hAnsi="Arial" w:cs="Arial"/>
          <w:color w:val="494949"/>
          <w:sz w:val="24"/>
          <w:szCs w:val="24"/>
          <w:shd w:val="clear" w:color="auto" w:fill="FFFFFF"/>
        </w:rPr>
        <w:t>ersonal data of which the applicant is not the data subject </w:t>
      </w:r>
    </w:p>
    <w:p w14:paraId="799A9EF2" w14:textId="77777777" w:rsidR="00332D6F" w:rsidRDefault="00332D6F" w:rsidP="00332D6F">
      <w:pPr>
        <w:spacing w:after="0" w:line="240" w:lineRule="auto"/>
      </w:pPr>
    </w:p>
    <w:p w14:paraId="3BD0A5C5" w14:textId="77777777" w:rsidR="00332D6F" w:rsidRDefault="00332D6F" w:rsidP="00332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24E">
        <w:rPr>
          <w:rFonts w:ascii="Arial" w:hAnsi="Arial" w:cs="Arial"/>
          <w:b/>
          <w:sz w:val="24"/>
          <w:szCs w:val="24"/>
        </w:rPr>
        <w:t>A</w:t>
      </w:r>
      <w:r w:rsidR="00666C62">
        <w:rPr>
          <w:rFonts w:ascii="Arial" w:hAnsi="Arial" w:cs="Arial"/>
          <w:b/>
          <w:sz w:val="24"/>
          <w:szCs w:val="24"/>
        </w:rPr>
        <w:t>nnex</w:t>
      </w:r>
      <w:r w:rsidRPr="002E724E">
        <w:rPr>
          <w:rFonts w:ascii="Arial" w:hAnsi="Arial" w:cs="Arial"/>
          <w:b/>
          <w:sz w:val="24"/>
          <w:szCs w:val="24"/>
        </w:rPr>
        <w:t xml:space="preserve"> A </w:t>
      </w:r>
      <w:r w:rsidR="00666C62">
        <w:rPr>
          <w:rFonts w:ascii="Arial" w:hAnsi="Arial" w:cs="Arial"/>
          <w:b/>
          <w:sz w:val="24"/>
          <w:szCs w:val="24"/>
        </w:rPr>
        <w:t>-</w:t>
      </w:r>
      <w:r w:rsidRPr="002E724E">
        <w:rPr>
          <w:rFonts w:ascii="Arial" w:hAnsi="Arial" w:cs="Arial"/>
          <w:b/>
          <w:sz w:val="24"/>
          <w:szCs w:val="24"/>
        </w:rPr>
        <w:t xml:space="preserve"> </w:t>
      </w:r>
      <w:r w:rsidR="00AE6923">
        <w:rPr>
          <w:rFonts w:ascii="Arial" w:hAnsi="Arial" w:cs="Arial"/>
          <w:b/>
          <w:sz w:val="24"/>
          <w:szCs w:val="24"/>
        </w:rPr>
        <w:t xml:space="preserve">full </w:t>
      </w:r>
      <w:r>
        <w:rPr>
          <w:rFonts w:ascii="Arial" w:hAnsi="Arial" w:cs="Arial"/>
          <w:b/>
          <w:sz w:val="24"/>
          <w:szCs w:val="24"/>
        </w:rPr>
        <w:t>r</w:t>
      </w:r>
      <w:r w:rsidRPr="002E724E">
        <w:rPr>
          <w:rFonts w:ascii="Arial" w:hAnsi="Arial" w:cs="Arial"/>
          <w:b/>
          <w:sz w:val="24"/>
          <w:szCs w:val="24"/>
        </w:rPr>
        <w:t xml:space="preserve">eclosure by </w:t>
      </w:r>
      <w:r>
        <w:rPr>
          <w:rFonts w:ascii="Arial" w:hAnsi="Arial" w:cs="Arial"/>
          <w:b/>
          <w:sz w:val="24"/>
          <w:szCs w:val="24"/>
        </w:rPr>
        <w:t>S</w:t>
      </w:r>
      <w:r w:rsidRPr="002E724E">
        <w:rPr>
          <w:rFonts w:ascii="Arial" w:hAnsi="Arial" w:cs="Arial"/>
          <w:b/>
          <w:sz w:val="24"/>
          <w:szCs w:val="24"/>
        </w:rPr>
        <w:t>eries</w:t>
      </w:r>
    </w:p>
    <w:p w14:paraId="4E745A25" w14:textId="77777777" w:rsidR="00332D6F" w:rsidRDefault="00332D6F" w:rsidP="00332D6F">
      <w:pPr>
        <w:spacing w:after="0" w:line="240" w:lineRule="auto"/>
      </w:pP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1324"/>
        <w:gridCol w:w="7083"/>
        <w:gridCol w:w="1417"/>
      </w:tblGrid>
      <w:tr w:rsidR="00332D6F" w:rsidRPr="002E724E" w14:paraId="58512993" w14:textId="77777777" w:rsidTr="00FB3B4E">
        <w:trPr>
          <w:trHeight w:val="74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26A4" w14:textId="77777777" w:rsidR="00332D6F" w:rsidRPr="002E724E" w:rsidRDefault="00332D6F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Reference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3C51" w14:textId="77777777" w:rsidR="00332D6F" w:rsidRPr="002E724E" w:rsidRDefault="00332D6F" w:rsidP="007E2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CC7FF" w14:textId="77777777" w:rsidR="00332D6F" w:rsidRPr="002E724E" w:rsidRDefault="00332D6F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Reclosures</w:t>
            </w:r>
          </w:p>
        </w:tc>
      </w:tr>
      <w:tr w:rsidR="00AE6923" w:rsidRPr="00932D45" w14:paraId="545DC7B2" w14:textId="77777777" w:rsidTr="00DA60AE">
        <w:trPr>
          <w:trHeight w:val="59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4BF20" w14:textId="77777777" w:rsidR="00AE6923" w:rsidRPr="00932D45" w:rsidRDefault="00AE6923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ASSI 13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4F67A" w14:textId="77777777" w:rsidR="00AE6923" w:rsidRPr="00932D45" w:rsidRDefault="007316A6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Assizes: Midland Circuit: Criminal Depositions and Case Papers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0ADF1" w14:textId="77777777" w:rsidR="00AE6923" w:rsidRPr="00932D45" w:rsidRDefault="00AE6923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A60AE" w:rsidRPr="00932D45" w14:paraId="5D621589" w14:textId="77777777" w:rsidTr="00DA60AE">
        <w:trPr>
          <w:trHeight w:val="28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ED01" w14:textId="77777777" w:rsidR="00DA60AE" w:rsidRPr="00932D45" w:rsidRDefault="00DA60AE" w:rsidP="00666B7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DPP 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B0412" w14:textId="77777777" w:rsidR="00DA60AE" w:rsidRPr="00932D45" w:rsidRDefault="00DA60AE" w:rsidP="00911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Director of Public Prosecutions: Case Papers, New Series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1608" w14:textId="77777777" w:rsidR="00DA60AE" w:rsidRPr="00932D45" w:rsidRDefault="00DA60AE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332D6F" w:rsidRPr="00932D45" w14:paraId="298B12C5" w14:textId="77777777" w:rsidTr="00CC18FA">
        <w:trPr>
          <w:trHeight w:val="28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10070" w14:textId="77777777" w:rsidR="00332D6F" w:rsidRPr="00932D45" w:rsidRDefault="00332D6F" w:rsidP="00666B7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 305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9018" w14:textId="77777777" w:rsidR="00332D6F" w:rsidRPr="00932D45" w:rsidRDefault="00332D6F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hAnsi="Arial" w:cs="Arial"/>
                <w:sz w:val="24"/>
                <w:szCs w:val="24"/>
              </w:rPr>
              <w:t>War Office and Ministry of Defence: Army Unit Historical Records and Reports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6C687" w14:textId="77777777" w:rsidR="00332D6F" w:rsidRPr="00932D45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332D6F" w:rsidRPr="002E724E" w14:paraId="76B941B5" w14:textId="77777777" w:rsidTr="00CC18FA">
        <w:trPr>
          <w:trHeight w:val="46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CE6E" w14:textId="77777777" w:rsidR="00332D6F" w:rsidRPr="002E724E" w:rsidRDefault="00332D6F" w:rsidP="004D0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3B02" w14:textId="77777777" w:rsidR="00332D6F" w:rsidRPr="002E724E" w:rsidRDefault="00332D6F" w:rsidP="00911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EE4" w14:textId="77777777" w:rsidR="00332D6F" w:rsidRDefault="003D5628" w:rsidP="00911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</w:tbl>
    <w:p w14:paraId="3C1AB7A3" w14:textId="77777777" w:rsidR="00332D6F" w:rsidRDefault="00332D6F" w:rsidP="00332D6F">
      <w:pPr>
        <w:spacing w:after="0" w:line="240" w:lineRule="auto"/>
      </w:pPr>
    </w:p>
    <w:p w14:paraId="6803BDDB" w14:textId="77777777" w:rsidR="00A62031" w:rsidRPr="002E724E" w:rsidRDefault="00A62031" w:rsidP="00A620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24E">
        <w:rPr>
          <w:rFonts w:ascii="Arial" w:hAnsi="Arial" w:cs="Arial"/>
          <w:b/>
          <w:sz w:val="24"/>
          <w:szCs w:val="24"/>
        </w:rPr>
        <w:t>A</w:t>
      </w:r>
      <w:r w:rsidR="00666C62">
        <w:rPr>
          <w:rFonts w:ascii="Arial" w:hAnsi="Arial" w:cs="Arial"/>
          <w:b/>
          <w:sz w:val="24"/>
          <w:szCs w:val="24"/>
        </w:rPr>
        <w:t>nnex</w:t>
      </w:r>
      <w:r w:rsidRPr="002E724E">
        <w:rPr>
          <w:rFonts w:ascii="Arial" w:hAnsi="Arial" w:cs="Arial"/>
          <w:b/>
          <w:sz w:val="24"/>
          <w:szCs w:val="24"/>
        </w:rPr>
        <w:t xml:space="preserve"> B - part </w:t>
      </w:r>
      <w:r>
        <w:rPr>
          <w:rFonts w:ascii="Arial" w:hAnsi="Arial" w:cs="Arial"/>
          <w:b/>
          <w:sz w:val="24"/>
          <w:szCs w:val="24"/>
        </w:rPr>
        <w:t>r</w:t>
      </w:r>
      <w:r w:rsidRPr="002E724E">
        <w:rPr>
          <w:rFonts w:ascii="Arial" w:hAnsi="Arial" w:cs="Arial"/>
          <w:b/>
          <w:sz w:val="24"/>
          <w:szCs w:val="24"/>
        </w:rPr>
        <w:t xml:space="preserve">eclosure </w:t>
      </w:r>
      <w:r>
        <w:rPr>
          <w:rFonts w:ascii="Arial" w:hAnsi="Arial" w:cs="Arial"/>
          <w:b/>
          <w:sz w:val="24"/>
          <w:szCs w:val="24"/>
        </w:rPr>
        <w:t xml:space="preserve">(redaction) </w:t>
      </w:r>
      <w:r w:rsidR="00666C62">
        <w:rPr>
          <w:rFonts w:ascii="Arial" w:hAnsi="Arial" w:cs="Arial"/>
          <w:b/>
          <w:sz w:val="24"/>
          <w:szCs w:val="24"/>
        </w:rPr>
        <w:t>by S</w:t>
      </w:r>
      <w:r w:rsidRPr="002E724E">
        <w:rPr>
          <w:rFonts w:ascii="Arial" w:hAnsi="Arial" w:cs="Arial"/>
          <w:b/>
          <w:sz w:val="24"/>
          <w:szCs w:val="24"/>
        </w:rPr>
        <w:t xml:space="preserve">eries </w:t>
      </w:r>
    </w:p>
    <w:p w14:paraId="72976BFF" w14:textId="77777777" w:rsidR="00A62031" w:rsidRDefault="00A62031" w:rsidP="00A620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1324"/>
        <w:gridCol w:w="7083"/>
        <w:gridCol w:w="1417"/>
      </w:tblGrid>
      <w:tr w:rsidR="00A62031" w:rsidRPr="002E724E" w14:paraId="76C4AB18" w14:textId="77777777" w:rsidTr="00C05DB7">
        <w:trPr>
          <w:trHeight w:val="69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15FD" w14:textId="77777777" w:rsidR="00A62031" w:rsidRPr="002E724E" w:rsidRDefault="00A62031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Reference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6A98" w14:textId="77777777" w:rsidR="00A62031" w:rsidRPr="002E724E" w:rsidRDefault="00A62031" w:rsidP="007E2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D2156" w14:textId="77777777" w:rsidR="00A62031" w:rsidRPr="002E724E" w:rsidRDefault="00A62031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Reclosures</w:t>
            </w:r>
          </w:p>
        </w:tc>
      </w:tr>
      <w:tr w:rsidR="00A62031" w:rsidRPr="002E724E" w14:paraId="31D61EC5" w14:textId="77777777" w:rsidTr="00C05DB7">
        <w:trPr>
          <w:trHeight w:val="4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A32A" w14:textId="77777777" w:rsidR="00A62031" w:rsidRPr="00A62031" w:rsidRDefault="00A62031" w:rsidP="009B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62031">
              <w:rPr>
                <w:rFonts w:ascii="Arial" w:hAnsi="Arial" w:cs="Arial"/>
                <w:sz w:val="24"/>
                <w:szCs w:val="24"/>
              </w:rPr>
              <w:t>AIR 2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46E61" w14:textId="77777777" w:rsidR="00A62031" w:rsidRPr="00932D45" w:rsidRDefault="007316A6" w:rsidP="009B65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</w:rPr>
              <w:t>Air Ministry and Ministry of Defence: Registered Files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B5D47" w14:textId="77777777" w:rsidR="00A62031" w:rsidRDefault="00A62031" w:rsidP="009B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3D5628" w:rsidRPr="002E724E" w14:paraId="15B27686" w14:textId="77777777" w:rsidTr="00932D45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4B52" w14:textId="77777777" w:rsidR="003D5628" w:rsidRPr="00A62031" w:rsidRDefault="003D5628" w:rsidP="00932D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 133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18E3C" w14:textId="77777777" w:rsidR="003D5628" w:rsidRPr="00932D45" w:rsidRDefault="00932D45" w:rsidP="0091135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Welsh Office: Health and Social Work Department and Successors: Health Policy (HP) File Prefix: Registered Files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A80F8" w14:textId="77777777" w:rsidR="003D5628" w:rsidRDefault="003D5628" w:rsidP="00932D4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62031" w:rsidRPr="002E724E" w14:paraId="65165682" w14:textId="77777777" w:rsidTr="00932D45">
        <w:trPr>
          <w:trHeight w:val="90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B0A4" w14:textId="77777777" w:rsidR="00A62031" w:rsidRPr="00A62031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62031">
              <w:rPr>
                <w:rFonts w:ascii="Arial" w:hAnsi="Arial" w:cs="Arial"/>
                <w:sz w:val="24"/>
                <w:szCs w:val="24"/>
              </w:rPr>
              <w:t>BN 62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8C19" w14:textId="77777777" w:rsidR="00A62031" w:rsidRPr="00932D45" w:rsidRDefault="00932D45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Home Office and Department of Health and Social Security: Approved Schools and Remand and Voluntary Homes: Files (CHR Symbol Series)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D731F" w14:textId="77777777" w:rsidR="00A62031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62031" w:rsidRPr="002E724E" w14:paraId="09903DBD" w14:textId="77777777" w:rsidTr="00932D45">
        <w:trPr>
          <w:trHeight w:val="70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A8CC" w14:textId="77777777" w:rsidR="00A62031" w:rsidRPr="00A62031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62031">
              <w:rPr>
                <w:rFonts w:ascii="Arial" w:hAnsi="Arial" w:cs="Arial"/>
                <w:sz w:val="24"/>
                <w:szCs w:val="24"/>
              </w:rPr>
              <w:t>BN 146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55F58" w14:textId="77777777" w:rsidR="00A62031" w:rsidRPr="00932D45" w:rsidRDefault="00932D45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Department of Health and Social Security: Supplementary Benefit and Income Support policies (means tested benefits)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78684" w14:textId="77777777" w:rsidR="00A62031" w:rsidRDefault="003D5628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E6923" w:rsidRPr="002E724E" w14:paraId="28B56081" w14:textId="77777777" w:rsidTr="00932D45">
        <w:trPr>
          <w:trHeight w:val="41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2F95" w14:textId="77777777" w:rsidR="00AE6923" w:rsidRPr="00A62031" w:rsidRDefault="00AE6923" w:rsidP="00932D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 1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7629D" w14:textId="77777777" w:rsidR="00AE6923" w:rsidRPr="00932D45" w:rsidRDefault="00932D45" w:rsidP="0091135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</w:rPr>
              <w:t>Central Criminal Court: Depositions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EE1B2" w14:textId="77777777" w:rsidR="00AE6923" w:rsidRDefault="00AE6923" w:rsidP="00932D4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E6923" w:rsidRPr="002E724E" w14:paraId="1ED78639" w14:textId="77777777" w:rsidTr="00932D45">
        <w:trPr>
          <w:trHeight w:val="5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EBA3" w14:textId="77777777" w:rsidR="00AE6923" w:rsidRPr="00A62031" w:rsidRDefault="00AE6923" w:rsidP="00932D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031">
              <w:rPr>
                <w:rFonts w:ascii="Arial" w:hAnsi="Arial" w:cs="Arial"/>
                <w:sz w:val="24"/>
                <w:szCs w:val="24"/>
              </w:rPr>
              <w:t>DPP 2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39D97" w14:textId="77777777" w:rsidR="00AE6923" w:rsidRPr="00932D45" w:rsidRDefault="007316A6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Director of Public Prosecutions: Case Papers, New Series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1675F" w14:textId="77777777" w:rsidR="00AE6923" w:rsidRDefault="007F6ABF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62031" w:rsidRPr="002E724E" w14:paraId="7A66CE3B" w14:textId="77777777" w:rsidTr="00932D45">
        <w:trPr>
          <w:trHeight w:val="103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02F6" w14:textId="77777777" w:rsidR="00A62031" w:rsidRPr="002E724E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 224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716E" w14:textId="77777777" w:rsidR="00A62031" w:rsidRPr="00932D45" w:rsidRDefault="00932D45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Ministry of Education and Department of Education and Science: Welsh Department and successors: Special Schools, Registered Files (M and WM Series)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F6F89" w14:textId="77777777" w:rsidR="00A62031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3D5628" w:rsidRPr="002E724E" w14:paraId="2ECAF859" w14:textId="77777777" w:rsidTr="00932D45">
        <w:trPr>
          <w:trHeight w:val="65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AA30" w14:textId="77777777" w:rsidR="003D5628" w:rsidRDefault="003D5628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 950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7DDE9" w14:textId="77777777" w:rsidR="003D5628" w:rsidRPr="00932D45" w:rsidRDefault="00932D45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Foreign Office: Claims Department: Correspondence and Claims Files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911C0" w14:textId="77777777" w:rsidR="003D5628" w:rsidRDefault="003D5628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62031" w:rsidRPr="002E724E" w14:paraId="14CDB6C0" w14:textId="77777777" w:rsidTr="00932D45">
        <w:trPr>
          <w:trHeight w:val="51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4314" w14:textId="77777777" w:rsidR="00A62031" w:rsidRPr="00A62031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62031">
              <w:rPr>
                <w:rFonts w:ascii="Arial" w:hAnsi="Arial" w:cs="Arial"/>
                <w:sz w:val="24"/>
                <w:szCs w:val="24"/>
              </w:rPr>
              <w:t>HO 45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81A73" w14:textId="77777777" w:rsidR="00A62031" w:rsidRPr="00932D45" w:rsidRDefault="00932D45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Home Office: Registered Papers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B92DB" w14:textId="77777777" w:rsidR="00A62031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E6923" w:rsidRPr="002E724E" w14:paraId="4750959D" w14:textId="77777777" w:rsidTr="00932D45">
        <w:trPr>
          <w:trHeight w:val="41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9966" w14:textId="77777777" w:rsidR="00AE6923" w:rsidRPr="00A62031" w:rsidRDefault="00AE6923" w:rsidP="00932D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 144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1B9FE" w14:textId="77777777" w:rsidR="00AE6923" w:rsidRPr="00932D45" w:rsidRDefault="00932D45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2D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Home Office: Registered Papers, Supplementary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91A3D" w14:textId="77777777" w:rsidR="00AE6923" w:rsidRDefault="00AE6923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62031" w:rsidRPr="002E724E" w14:paraId="38C26223" w14:textId="77777777" w:rsidTr="00932D45">
        <w:trPr>
          <w:trHeight w:val="7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80D2" w14:textId="77777777" w:rsidR="00A62031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 305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01DD" w14:textId="77777777" w:rsidR="00A62031" w:rsidRPr="00A92D41" w:rsidRDefault="00A62031" w:rsidP="00911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War Office and Ministry of Defence: Army Unit Historical Records and Reports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B1B48" w14:textId="77777777" w:rsidR="00A62031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62031" w:rsidRPr="002E724E" w14:paraId="275B7FDC" w14:textId="77777777" w:rsidTr="00FB3B4E">
        <w:trPr>
          <w:trHeight w:val="44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BAF69" w14:textId="77777777" w:rsidR="00A62031" w:rsidRPr="002E724E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C508B0" w14:textId="77777777" w:rsidR="00A62031" w:rsidRPr="002E724E" w:rsidRDefault="00A62031" w:rsidP="0093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EB34F6" w14:textId="77777777" w:rsidR="00A62031" w:rsidRDefault="003D5628" w:rsidP="0093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7F6A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</w:tbl>
    <w:p w14:paraId="7C44E120" w14:textId="77777777" w:rsidR="00A62031" w:rsidRPr="00205C65" w:rsidRDefault="00A62031" w:rsidP="00332D6F">
      <w:pPr>
        <w:spacing w:after="0" w:line="240" w:lineRule="auto"/>
      </w:pPr>
    </w:p>
    <w:sectPr w:rsidR="00A62031" w:rsidRPr="0020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D465C" w14:textId="77777777" w:rsidR="00666B7A" w:rsidRDefault="00666B7A" w:rsidP="00666B7A">
      <w:pPr>
        <w:spacing w:after="0" w:line="240" w:lineRule="auto"/>
      </w:pPr>
      <w:r>
        <w:separator/>
      </w:r>
    </w:p>
  </w:endnote>
  <w:endnote w:type="continuationSeparator" w:id="0">
    <w:p w14:paraId="4C610C17" w14:textId="77777777" w:rsidR="00666B7A" w:rsidRDefault="00666B7A" w:rsidP="006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D9064" w14:textId="77777777" w:rsidR="00666B7A" w:rsidRDefault="00666B7A" w:rsidP="00666B7A">
      <w:pPr>
        <w:spacing w:after="0" w:line="240" w:lineRule="auto"/>
      </w:pPr>
      <w:r>
        <w:separator/>
      </w:r>
    </w:p>
  </w:footnote>
  <w:footnote w:type="continuationSeparator" w:id="0">
    <w:p w14:paraId="611951A0" w14:textId="77777777" w:rsidR="00666B7A" w:rsidRDefault="00666B7A" w:rsidP="0066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9B8"/>
    <w:multiLevelType w:val="hybridMultilevel"/>
    <w:tmpl w:val="ECD8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12CA"/>
    <w:multiLevelType w:val="hybridMultilevel"/>
    <w:tmpl w:val="2AAEA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8229EE"/>
    <w:multiLevelType w:val="hybridMultilevel"/>
    <w:tmpl w:val="9E3C0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62"/>
    <w:rsid w:val="00015DA0"/>
    <w:rsid w:val="00036440"/>
    <w:rsid w:val="00060F35"/>
    <w:rsid w:val="00196ECB"/>
    <w:rsid w:val="00205C65"/>
    <w:rsid w:val="00332D6F"/>
    <w:rsid w:val="003807A6"/>
    <w:rsid w:val="00382E25"/>
    <w:rsid w:val="003A1277"/>
    <w:rsid w:val="003D5628"/>
    <w:rsid w:val="004A1BA3"/>
    <w:rsid w:val="004D0D30"/>
    <w:rsid w:val="004D20A5"/>
    <w:rsid w:val="00602B30"/>
    <w:rsid w:val="00666B7A"/>
    <w:rsid w:val="00666C62"/>
    <w:rsid w:val="00682117"/>
    <w:rsid w:val="007316A6"/>
    <w:rsid w:val="00775562"/>
    <w:rsid w:val="007D71D7"/>
    <w:rsid w:val="007F6ABF"/>
    <w:rsid w:val="00821305"/>
    <w:rsid w:val="0091135B"/>
    <w:rsid w:val="00932D45"/>
    <w:rsid w:val="009B6518"/>
    <w:rsid w:val="00A62031"/>
    <w:rsid w:val="00AE67D4"/>
    <w:rsid w:val="00AE6923"/>
    <w:rsid w:val="00C00EC0"/>
    <w:rsid w:val="00C05DB7"/>
    <w:rsid w:val="00CC18FA"/>
    <w:rsid w:val="00D2223C"/>
    <w:rsid w:val="00DA60AE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92BF8E"/>
  <w15:chartTrackingRefBased/>
  <w15:docId w15:val="{982AFCCB-31AD-452B-9EE6-79FA4691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6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character" w:customStyle="1" w:styleId="legds2">
    <w:name w:val="legds2"/>
    <w:basedOn w:val="DefaultParagraphFont"/>
    <w:rsid w:val="00332D6F"/>
    <w:rPr>
      <w:vanish w:val="0"/>
      <w:webHidden w:val="0"/>
      <w:specVanish w:val="0"/>
    </w:rPr>
  </w:style>
  <w:style w:type="character" w:customStyle="1" w:styleId="itemtitle">
    <w:name w:val="itemtitle"/>
    <w:basedOn w:val="DefaultParagraphFont"/>
    <w:rsid w:val="00A62031"/>
  </w:style>
  <w:style w:type="paragraph" w:styleId="BalloonText">
    <w:name w:val="Balloon Text"/>
    <w:basedOn w:val="Normal"/>
    <w:link w:val="BalloonTextChar"/>
    <w:uiPriority w:val="99"/>
    <w:semiHidden/>
    <w:unhideWhenUsed/>
    <w:rsid w:val="004D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2204C6E8CD747AE4CED5549C70A62" ma:contentTypeVersion="58" ma:contentTypeDescription="Create a new document." ma:contentTypeScope="" ma:versionID="326fa01ac0de8e8b040aee3057eb17ad">
  <xsd:schema xmlns:xsd="http://www.w3.org/2001/XMLSchema" xmlns:xs="http://www.w3.org/2001/XMLSchema" xmlns:p="http://schemas.microsoft.com/office/2006/metadata/properties" xmlns:ns1="http://schemas.microsoft.com/sharepoint/v3" xmlns:ns2="a67c0736-5c7f-4174-8dcd-78baf74714be" xmlns:ns3="20068350-b3b9-4cf4-9a4f-936a94cf848d" targetNamespace="http://schemas.microsoft.com/office/2006/metadata/properties" ma:root="true" ma:fieldsID="a97a9b7d09149effedd3bde9545ed0bf" ns1:_="" ns2:_="" ns3:_="">
    <xsd:import namespace="http://schemas.microsoft.com/sharepoint/v3"/>
    <xsd:import namespace="a67c0736-5c7f-4174-8dcd-78baf74714be"/>
    <xsd:import namespace="20068350-b3b9-4cf4-9a4f-936a94cf8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1:TagEven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19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0736-5c7f-4174-8dcd-78baf74714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68350-b3b9-4cf4-9a4f-936a94cf8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F27F-7F52-41E8-8059-CF5251029E1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0068350-b3b9-4cf4-9a4f-936a94cf848d"/>
    <ds:schemaRef ds:uri="a67c0736-5c7f-4174-8dcd-78baf74714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542526-5D28-4D43-AD6E-F36343528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7F7DF-FF65-4B7D-86A0-D8981D893A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61F43-44B9-4E84-A2DB-9B4ABBF4F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7c0736-5c7f-4174-8dcd-78baf74714be"/>
    <ds:schemaRef ds:uri="20068350-b3b9-4cf4-9a4f-936a94cf8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BCFF89-DB0C-4B02-A717-A0F18389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Nick</dc:creator>
  <cp:keywords/>
  <dc:description/>
  <cp:lastModifiedBy>Darby, Nathan</cp:lastModifiedBy>
  <cp:revision>2</cp:revision>
  <cp:lastPrinted>2022-10-06T11:14:00Z</cp:lastPrinted>
  <dcterms:created xsi:type="dcterms:W3CDTF">2022-11-24T15:52:00Z</dcterms:created>
  <dcterms:modified xsi:type="dcterms:W3CDTF">2022-11-24T15:52:00Z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c22e59-6e76-40e7-9277-37c464fc6354_Enabled">
    <vt:lpwstr>true</vt:lpwstr>
  </property>
  <property fmtid="{D5CDD505-2E9C-101B-9397-08002B2CF9AE}" pid="3" name="MSIP_Label_61c22e59-6e76-40e7-9277-37c464fc6354_SetDate">
    <vt:lpwstr>2022-09-28T17:01:37Z</vt:lpwstr>
  </property>
  <property fmtid="{D5CDD505-2E9C-101B-9397-08002B2CF9AE}" pid="4" name="MSIP_Label_61c22e59-6e76-40e7-9277-37c464fc6354_Method">
    <vt:lpwstr>Privileged</vt:lpwstr>
  </property>
  <property fmtid="{D5CDD505-2E9C-101B-9397-08002B2CF9AE}" pid="5" name="MSIP_Label_61c22e59-6e76-40e7-9277-37c464fc6354_Name">
    <vt:lpwstr>OFFICIAL</vt:lpwstr>
  </property>
  <property fmtid="{D5CDD505-2E9C-101B-9397-08002B2CF9AE}" pid="6" name="MSIP_Label_61c22e59-6e76-40e7-9277-37c464fc6354_SiteId">
    <vt:lpwstr>f99512c1-fd9f-4475-9896-9a0b3cdc50ec</vt:lpwstr>
  </property>
  <property fmtid="{D5CDD505-2E9C-101B-9397-08002B2CF9AE}" pid="7" name="MSIP_Label_61c22e59-6e76-40e7-9277-37c464fc6354_ActionId">
    <vt:lpwstr>5d7bf370-d5ee-404b-a3f5-4aea6c9f29ac</vt:lpwstr>
  </property>
  <property fmtid="{D5CDD505-2E9C-101B-9397-08002B2CF9AE}" pid="8" name="MSIP_Label_61c22e59-6e76-40e7-9277-37c464fc6354_ContentBits">
    <vt:lpwstr>0</vt:lpwstr>
  </property>
  <property fmtid="{D5CDD505-2E9C-101B-9397-08002B2CF9AE}" pid="9" name="ContentTypeId">
    <vt:lpwstr>0x010100FFA2204C6E8CD747AE4CED5549C70A62</vt:lpwstr>
  </property>
</Properties>
</file>