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3658F" w14:textId="77777777" w:rsidR="00AC6EC2" w:rsidRDefault="00AC6EC2" w:rsidP="00AC6E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469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eclosure figures for 2021</w:t>
      </w:r>
    </w:p>
    <w:p w14:paraId="1F2BEB61" w14:textId="77777777" w:rsidR="00AC6EC2" w:rsidRPr="0099469E" w:rsidRDefault="00AC6EC2" w:rsidP="00AC6E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F1A634" w14:textId="77777777" w:rsidR="00AC6EC2" w:rsidRDefault="00AC6EC2" w:rsidP="00AC6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59</w:t>
      </w:r>
      <w:r w:rsidRPr="008E26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469E">
        <w:rPr>
          <w:rFonts w:ascii="Arial" w:hAnsi="Arial" w:cs="Arial"/>
          <w:sz w:val="24"/>
          <w:szCs w:val="24"/>
        </w:rPr>
        <w:t>cases we</w:t>
      </w:r>
      <w:r>
        <w:rPr>
          <w:rFonts w:ascii="Arial" w:hAnsi="Arial" w:cs="Arial"/>
          <w:sz w:val="24"/>
          <w:szCs w:val="24"/>
        </w:rPr>
        <w:t>re presented to the Reclosure Panel in 2021.</w:t>
      </w:r>
    </w:p>
    <w:p w14:paraId="3B81FB0C" w14:textId="77777777" w:rsidR="00427B50" w:rsidRDefault="00427B50" w:rsidP="00AC6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8D367" w14:textId="77777777" w:rsidR="00427B50" w:rsidRDefault="00427B50" w:rsidP="00AC6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those 59 cases:</w:t>
      </w:r>
    </w:p>
    <w:p w14:paraId="1022DA4E" w14:textId="77777777" w:rsidR="00AC6EC2" w:rsidRDefault="00AC6EC2" w:rsidP="00AC6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DAB8B" w14:textId="77777777" w:rsidR="00AC6EC2" w:rsidRPr="0099469E" w:rsidRDefault="0020454B" w:rsidP="00AC6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22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AC6EC2" w:rsidRPr="0099469E">
        <w:rPr>
          <w:rFonts w:ascii="Arial" w:hAnsi="Arial" w:cs="Arial"/>
          <w:sz w:val="24"/>
          <w:szCs w:val="24"/>
        </w:rPr>
        <w:t>cases resulted in full closure. See Annex A for breakdown of figures</w:t>
      </w:r>
    </w:p>
    <w:p w14:paraId="214AB8BB" w14:textId="77777777" w:rsidR="00AC6EC2" w:rsidRPr="0099469E" w:rsidRDefault="00AC6EC2" w:rsidP="00AC6EC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A9DB17A" w14:textId="77777777" w:rsidR="00AC6EC2" w:rsidRDefault="0020454B" w:rsidP="00AC6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722D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AC6EC2" w:rsidRPr="003A1277">
        <w:rPr>
          <w:rFonts w:ascii="Arial" w:hAnsi="Arial" w:cs="Arial"/>
          <w:sz w:val="24"/>
          <w:szCs w:val="24"/>
        </w:rPr>
        <w:t xml:space="preserve">cases resulted in partial closure </w:t>
      </w:r>
      <w:r w:rsidR="00165160">
        <w:rPr>
          <w:rFonts w:ascii="Arial" w:hAnsi="Arial" w:cs="Arial"/>
          <w:sz w:val="24"/>
          <w:szCs w:val="24"/>
        </w:rPr>
        <w:t>(</w:t>
      </w:r>
      <w:r w:rsidR="00AC6EC2" w:rsidRPr="003A1277">
        <w:rPr>
          <w:rFonts w:ascii="Arial" w:hAnsi="Arial" w:cs="Arial"/>
          <w:sz w:val="24"/>
          <w:szCs w:val="24"/>
        </w:rPr>
        <w:t>i.e. redaction o</w:t>
      </w:r>
      <w:r w:rsidR="00AC6EC2">
        <w:rPr>
          <w:rFonts w:ascii="Arial" w:hAnsi="Arial" w:cs="Arial"/>
          <w:sz w:val="24"/>
          <w:szCs w:val="24"/>
        </w:rPr>
        <w:t>f</w:t>
      </w:r>
      <w:r w:rsidR="00AC6EC2" w:rsidRPr="003A1277">
        <w:rPr>
          <w:rFonts w:ascii="Arial" w:hAnsi="Arial" w:cs="Arial"/>
          <w:sz w:val="24"/>
          <w:szCs w:val="24"/>
        </w:rPr>
        <w:t xml:space="preserve"> sensitive information with the re</w:t>
      </w:r>
      <w:r w:rsidR="00AC6EC2">
        <w:rPr>
          <w:rFonts w:ascii="Arial" w:hAnsi="Arial" w:cs="Arial"/>
          <w:sz w:val="24"/>
          <w:szCs w:val="24"/>
        </w:rPr>
        <w:t>mainder</w:t>
      </w:r>
      <w:r w:rsidR="00AC6EC2" w:rsidRPr="003A1277">
        <w:rPr>
          <w:rFonts w:ascii="Arial" w:hAnsi="Arial" w:cs="Arial"/>
          <w:sz w:val="24"/>
          <w:szCs w:val="24"/>
        </w:rPr>
        <w:t xml:space="preserve"> of the file remaining open</w:t>
      </w:r>
      <w:r w:rsidR="00165160">
        <w:rPr>
          <w:rFonts w:ascii="Arial" w:hAnsi="Arial" w:cs="Arial"/>
          <w:sz w:val="24"/>
          <w:szCs w:val="24"/>
        </w:rPr>
        <w:t>)</w:t>
      </w:r>
      <w:r w:rsidR="00AC6EC2" w:rsidRPr="003A1277">
        <w:rPr>
          <w:rFonts w:ascii="Arial" w:hAnsi="Arial" w:cs="Arial"/>
          <w:sz w:val="24"/>
          <w:szCs w:val="24"/>
        </w:rPr>
        <w:t>. See Annex B for breakdown of figures</w:t>
      </w:r>
    </w:p>
    <w:p w14:paraId="1EAE8378" w14:textId="77777777" w:rsidR="0020454B" w:rsidRPr="0020454B" w:rsidRDefault="0020454B" w:rsidP="0020454B">
      <w:pPr>
        <w:pStyle w:val="ListParagraph"/>
        <w:rPr>
          <w:rFonts w:ascii="Arial" w:hAnsi="Arial" w:cs="Arial"/>
          <w:sz w:val="24"/>
          <w:szCs w:val="24"/>
        </w:rPr>
      </w:pPr>
    </w:p>
    <w:p w14:paraId="27F64685" w14:textId="77777777" w:rsidR="0020454B" w:rsidRDefault="0020454B" w:rsidP="00AC6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case reverted to full open status</w:t>
      </w:r>
    </w:p>
    <w:p w14:paraId="2DFC3170" w14:textId="77777777" w:rsidR="00AC6EC2" w:rsidRPr="003A1277" w:rsidRDefault="00AC6EC2" w:rsidP="00AC6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1565A" w14:textId="77777777" w:rsidR="00AC6EC2" w:rsidRDefault="00AC6EC2" w:rsidP="00AC6E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34E1">
        <w:rPr>
          <w:rFonts w:ascii="Arial" w:hAnsi="Arial" w:cs="Arial"/>
          <w:color w:val="000000" w:themeColor="text1"/>
          <w:sz w:val="24"/>
          <w:szCs w:val="24"/>
        </w:rPr>
        <w:t>Freedom of Information Act 2000 exemptions cited as the reason for reclosure:</w:t>
      </w:r>
    </w:p>
    <w:p w14:paraId="315A8B2B" w14:textId="77777777" w:rsidR="00AC6EC2" w:rsidRDefault="00AC6EC2" w:rsidP="00AC6E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394" w:type="dxa"/>
        <w:tblInd w:w="846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AC6EC2" w:rsidRPr="00FF1A2B" w14:paraId="4DA500EE" w14:textId="77777777" w:rsidTr="00650B22">
        <w:trPr>
          <w:trHeight w:val="6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CD9B" w14:textId="77777777" w:rsidR="00AC6EC2" w:rsidRPr="00FF1A2B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FOI Act e</w:t>
            </w:r>
            <w:r w:rsidRPr="00FF1A2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xemption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9D1C" w14:textId="77777777" w:rsidR="00AC6EC2" w:rsidRPr="00FF1A2B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Total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no of records*</w:t>
            </w:r>
          </w:p>
        </w:tc>
      </w:tr>
      <w:tr w:rsidR="00AC6EC2" w:rsidRPr="00FF1A2B" w14:paraId="54660651" w14:textId="77777777" w:rsidTr="00650B22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886C" w14:textId="77777777" w:rsidR="00AC6EC2" w:rsidRPr="00FF1A2B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3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6887" w14:textId="77777777" w:rsidR="00AC6EC2" w:rsidRPr="00FF1A2B" w:rsidRDefault="0020454B" w:rsidP="00650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FF1A2B" w14:paraId="56DA5C25" w14:textId="77777777" w:rsidTr="00422E1F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3441" w14:textId="77777777" w:rsidR="00AC6EC2" w:rsidRPr="00FF1A2B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3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91DB" w14:textId="77777777" w:rsidR="00AC6EC2" w:rsidRPr="00FF1A2B" w:rsidRDefault="0020454B" w:rsidP="00650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AC6EC2" w:rsidRPr="00FF1A2B" w14:paraId="667A4FBB" w14:textId="77777777" w:rsidTr="00422E1F">
        <w:trPr>
          <w:trHeight w:val="4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CC43" w14:textId="77777777" w:rsidR="00AC6EC2" w:rsidRPr="00FF1A2B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Section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F17E" w14:textId="77777777" w:rsidR="00AC6EC2" w:rsidRPr="00FF1A2B" w:rsidRDefault="0020454B" w:rsidP="00650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36</w:t>
            </w:r>
          </w:p>
        </w:tc>
      </w:tr>
      <w:tr w:rsidR="00AC6EC2" w:rsidRPr="00FF1A2B" w14:paraId="4E0411EE" w14:textId="77777777" w:rsidTr="00422E1F">
        <w:trPr>
          <w:trHeight w:val="4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946B" w14:textId="77777777" w:rsidR="00AC6EC2" w:rsidRPr="00FF1A2B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C4C2" w14:textId="77777777" w:rsidR="00AC6EC2" w:rsidRDefault="0020454B" w:rsidP="00650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</w:tbl>
    <w:p w14:paraId="0D30ADEE" w14:textId="77777777" w:rsidR="00AC6EC2" w:rsidRDefault="00AC6EC2" w:rsidP="00AC6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D4E77" w14:textId="77777777" w:rsidR="00AC6EC2" w:rsidRPr="005B6B95" w:rsidRDefault="00AC6EC2" w:rsidP="00AC6E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6B95">
        <w:rPr>
          <w:rFonts w:ascii="Arial" w:hAnsi="Arial" w:cs="Arial"/>
          <w:color w:val="000000" w:themeColor="text1"/>
          <w:sz w:val="24"/>
          <w:szCs w:val="24"/>
        </w:rPr>
        <w:t>*</w:t>
      </w:r>
      <w:r w:rsidR="00AA26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This figure represents </w:t>
      </w:r>
      <w:r>
        <w:rPr>
          <w:rFonts w:ascii="Arial" w:hAnsi="Arial" w:cs="Arial"/>
          <w:color w:val="000000" w:themeColor="text1"/>
          <w:sz w:val="24"/>
          <w:szCs w:val="24"/>
        </w:rPr>
        <w:t>the number of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records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have been closed </w:t>
      </w:r>
      <w:r>
        <w:rPr>
          <w:rFonts w:ascii="Arial" w:hAnsi="Arial" w:cs="Arial"/>
          <w:color w:val="000000" w:themeColor="text1"/>
          <w:sz w:val="24"/>
          <w:szCs w:val="24"/>
        </w:rPr>
        <w:t>under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 each exemption. </w:t>
      </w:r>
      <w:r>
        <w:rPr>
          <w:rFonts w:ascii="Arial" w:hAnsi="Arial" w:cs="Arial"/>
          <w:sz w:val="24"/>
          <w:szCs w:val="24"/>
        </w:rPr>
        <w:t>Some records have been closed, or partially closed, under multiple exemptions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B07FE41" w14:textId="77777777" w:rsidR="00AC6EC2" w:rsidRDefault="00AC6EC2" w:rsidP="00AC6EC2">
      <w:pPr>
        <w:spacing w:after="0" w:line="240" w:lineRule="auto"/>
      </w:pPr>
    </w:p>
    <w:p w14:paraId="4CB1C0FB" w14:textId="77777777" w:rsidR="00AC6EC2" w:rsidRPr="00C950B0" w:rsidRDefault="00AC6EC2" w:rsidP="00AC6EC2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950B0">
        <w:rPr>
          <w:rFonts w:ascii="Arial" w:hAnsi="Arial" w:cs="Arial"/>
          <w:sz w:val="24"/>
          <w:szCs w:val="24"/>
        </w:rPr>
        <w:t>Section 31: law enforcement</w:t>
      </w:r>
      <w:r w:rsidR="00C950B0" w:rsidRPr="00C950B0">
        <w:rPr>
          <w:rFonts w:ascii="Arial" w:hAnsi="Arial" w:cs="Arial"/>
          <w:sz w:val="24"/>
          <w:szCs w:val="24"/>
        </w:rPr>
        <w:t>. Information is exempt if its disclosure would, or would be likely to, prejudice law enforcement</w:t>
      </w:r>
    </w:p>
    <w:p w14:paraId="5A452DF4" w14:textId="77777777" w:rsidR="00AC6EC2" w:rsidRPr="00C950B0" w:rsidRDefault="00AC6EC2" w:rsidP="00AC6EC2">
      <w:pPr>
        <w:pStyle w:val="ListParagraph"/>
        <w:rPr>
          <w:rFonts w:ascii="Arial" w:hAnsi="Arial" w:cs="Arial"/>
          <w:sz w:val="24"/>
          <w:szCs w:val="24"/>
        </w:rPr>
      </w:pPr>
    </w:p>
    <w:p w14:paraId="2B00E280" w14:textId="77777777" w:rsidR="00AC6EC2" w:rsidRPr="00C950B0" w:rsidRDefault="00AC6EC2" w:rsidP="00AC6EC2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950B0">
        <w:rPr>
          <w:rFonts w:ascii="Arial" w:hAnsi="Arial" w:cs="Arial"/>
          <w:sz w:val="24"/>
          <w:szCs w:val="24"/>
        </w:rPr>
        <w:t>Section 38:</w:t>
      </w:r>
      <w:r w:rsidRPr="00C950B0">
        <w:rPr>
          <w:rFonts w:ascii="Arial" w:hAnsi="Arial" w:cs="Arial"/>
          <w:sz w:val="24"/>
          <w:szCs w:val="24"/>
          <w:lang w:val="en"/>
        </w:rPr>
        <w:t xml:space="preserve"> health and safety</w:t>
      </w:r>
      <w:r w:rsidR="00C950B0" w:rsidRPr="00C950B0">
        <w:rPr>
          <w:rFonts w:ascii="Arial" w:hAnsi="Arial" w:cs="Arial"/>
          <w:sz w:val="24"/>
          <w:szCs w:val="24"/>
          <w:lang w:val="en"/>
        </w:rPr>
        <w:t xml:space="preserve">. </w:t>
      </w:r>
      <w:r w:rsidR="00C950B0" w:rsidRPr="00C950B0">
        <w:rPr>
          <w:rFonts w:ascii="Arial" w:hAnsi="Arial" w:cs="Arial"/>
          <w:sz w:val="24"/>
          <w:szCs w:val="24"/>
        </w:rPr>
        <w:t>Information is exempt if its disclosure would, or would be likely to, endanger the physical or mental health of any individual or endanger the safety of any individual</w:t>
      </w:r>
    </w:p>
    <w:p w14:paraId="5BFE21D0" w14:textId="77777777" w:rsidR="00AC6EC2" w:rsidRPr="00C950B0" w:rsidRDefault="00AC6EC2" w:rsidP="00AC6EC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F64162F" w14:textId="77777777" w:rsidR="00AC6EC2" w:rsidRPr="00C950B0" w:rsidRDefault="00AC6EC2" w:rsidP="00AC6EC2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Style w:val="legds2"/>
          <w:rFonts w:ascii="Arial" w:hAnsi="Arial" w:cs="Arial"/>
          <w:sz w:val="24"/>
          <w:szCs w:val="24"/>
        </w:rPr>
      </w:pPr>
      <w:r w:rsidRPr="00C950B0">
        <w:rPr>
          <w:rFonts w:ascii="Arial" w:hAnsi="Arial" w:cs="Arial"/>
          <w:sz w:val="24"/>
          <w:szCs w:val="24"/>
        </w:rPr>
        <w:t>Section 40: personal information</w:t>
      </w:r>
      <w:r w:rsidR="00C950B0" w:rsidRPr="00C950B0">
        <w:rPr>
          <w:rFonts w:ascii="Arial" w:hAnsi="Arial" w:cs="Arial"/>
          <w:sz w:val="24"/>
          <w:szCs w:val="24"/>
        </w:rPr>
        <w:t>. Information is exempt if it constitutes personal data of which the applicant is the data subject</w:t>
      </w:r>
    </w:p>
    <w:p w14:paraId="7DB3D8F2" w14:textId="77777777" w:rsidR="00AC6EC2" w:rsidRPr="00C950B0" w:rsidRDefault="00AC6EC2" w:rsidP="00AC6EC2">
      <w:pPr>
        <w:pStyle w:val="ListParagraph"/>
        <w:rPr>
          <w:rStyle w:val="legds2"/>
          <w:rFonts w:ascii="Arial" w:hAnsi="Arial" w:cs="Arial"/>
          <w:color w:val="000000" w:themeColor="text1"/>
          <w:sz w:val="24"/>
          <w:szCs w:val="24"/>
        </w:rPr>
      </w:pPr>
    </w:p>
    <w:p w14:paraId="7796ADE0" w14:textId="77777777" w:rsidR="00AC6EC2" w:rsidRPr="00C950B0" w:rsidRDefault="00AC6EC2" w:rsidP="00AC6EC2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specVanish/>
        </w:rPr>
      </w:pPr>
      <w:r w:rsidRPr="00C950B0">
        <w:rPr>
          <w:rFonts w:ascii="Arial" w:hAnsi="Arial" w:cs="Arial"/>
          <w:color w:val="000000" w:themeColor="text1"/>
          <w:sz w:val="24"/>
          <w:szCs w:val="24"/>
        </w:rPr>
        <w:t xml:space="preserve">Section 41: </w:t>
      </w:r>
      <w:r w:rsidRPr="00C950B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information provided in confidence</w:t>
      </w:r>
      <w:r w:rsidR="00C950B0" w:rsidRPr="00C950B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="00C950B0" w:rsidRPr="00C950B0">
        <w:rPr>
          <w:rFonts w:ascii="Arial" w:hAnsi="Arial" w:cs="Arial"/>
          <w:sz w:val="24"/>
          <w:szCs w:val="24"/>
        </w:rPr>
        <w:t>Information is exempt if it was obtained by a public authority from any other person and the disclosure of the information to the public authority holding it would constitute a breach of confidence actionable by that or any other person</w:t>
      </w:r>
    </w:p>
    <w:p w14:paraId="6A997537" w14:textId="77777777" w:rsidR="00AC6EC2" w:rsidRDefault="00AC6EC2" w:rsidP="00AC6EC2">
      <w:pPr>
        <w:spacing w:after="0" w:line="240" w:lineRule="auto"/>
        <w:jc w:val="both"/>
        <w:rPr>
          <w:rStyle w:val="legds2"/>
          <w:rFonts w:ascii="Arial" w:hAnsi="Arial" w:cs="Arial"/>
          <w:color w:val="000000" w:themeColor="text1"/>
          <w:sz w:val="24"/>
          <w:szCs w:val="24"/>
        </w:rPr>
      </w:pPr>
    </w:p>
    <w:p w14:paraId="1C32AF27" w14:textId="77777777" w:rsidR="00AC6EC2" w:rsidRDefault="00AC6EC2" w:rsidP="00AC6E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</w:t>
      </w:r>
      <w:r w:rsidRPr="002E724E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-</w:t>
      </w:r>
      <w:r w:rsidRPr="002E72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full r</w:t>
      </w:r>
      <w:r w:rsidRPr="002E724E">
        <w:rPr>
          <w:rFonts w:ascii="Arial" w:hAnsi="Arial" w:cs="Arial"/>
          <w:b/>
          <w:sz w:val="24"/>
          <w:szCs w:val="24"/>
        </w:rPr>
        <w:t xml:space="preserve">eclosure by </w:t>
      </w:r>
      <w:r>
        <w:rPr>
          <w:rFonts w:ascii="Arial" w:hAnsi="Arial" w:cs="Arial"/>
          <w:b/>
          <w:sz w:val="24"/>
          <w:szCs w:val="24"/>
        </w:rPr>
        <w:t>S</w:t>
      </w:r>
      <w:r w:rsidRPr="002E724E">
        <w:rPr>
          <w:rFonts w:ascii="Arial" w:hAnsi="Arial" w:cs="Arial"/>
          <w:b/>
          <w:sz w:val="24"/>
          <w:szCs w:val="24"/>
        </w:rPr>
        <w:t>eries</w:t>
      </w:r>
    </w:p>
    <w:p w14:paraId="5F761B6C" w14:textId="77777777" w:rsidR="00AC6EC2" w:rsidRDefault="00AC6EC2" w:rsidP="00AC6EC2">
      <w:pPr>
        <w:spacing w:after="0" w:line="240" w:lineRule="auto"/>
      </w:pP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1324"/>
        <w:gridCol w:w="7083"/>
        <w:gridCol w:w="1417"/>
      </w:tblGrid>
      <w:tr w:rsidR="00AC6EC2" w:rsidRPr="002E724E" w14:paraId="1833898A" w14:textId="77777777" w:rsidTr="00650B22">
        <w:trPr>
          <w:trHeight w:val="72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D72C" w14:textId="77777777" w:rsidR="00AC6EC2" w:rsidRPr="002E724E" w:rsidRDefault="00AC6EC2" w:rsidP="00E4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Reference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A421" w14:textId="77777777" w:rsidR="00AC6EC2" w:rsidRPr="002E724E" w:rsidRDefault="00AC6EC2" w:rsidP="0065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441A" w14:textId="77777777" w:rsidR="00AC6EC2" w:rsidRPr="002E724E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Reclosures</w:t>
            </w:r>
          </w:p>
        </w:tc>
      </w:tr>
      <w:tr w:rsidR="00AC6EC2" w:rsidRPr="002E724E" w14:paraId="2BF1A8E4" w14:textId="77777777" w:rsidTr="006C6119">
        <w:trPr>
          <w:trHeight w:val="41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042C9" w14:textId="77777777" w:rsidR="00AC6EC2" w:rsidRPr="002E724E" w:rsidRDefault="00AC6EC2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ASSI 6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CFB8" w14:textId="77777777" w:rsidR="00AC6EC2" w:rsidRPr="00422E1F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Assizes: Oxford Circuit: Criminal Depositions and Case Papers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3903F" w14:textId="77777777" w:rsidR="00AC6EC2" w:rsidRPr="002E724E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3ED93708" w14:textId="77777777" w:rsidTr="006C6119">
        <w:trPr>
          <w:trHeight w:val="40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EACC" w14:textId="77777777" w:rsidR="00AC6EC2" w:rsidRPr="002E724E" w:rsidRDefault="00AC6EC2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13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8840" w14:textId="77777777" w:rsidR="00AC6EC2" w:rsidRPr="00422E1F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</w:rPr>
              <w:t>Assizes: Midland Circuit: Criminal Depositions and Case Papers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BC7B5" w14:textId="77777777" w:rsidR="00AC6EC2" w:rsidRPr="002E724E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C6EC2" w:rsidRPr="002E724E" w14:paraId="49963101" w14:textId="77777777" w:rsidTr="006C6119">
        <w:trPr>
          <w:trHeight w:val="42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1044D" w14:textId="77777777" w:rsidR="00AC6EC2" w:rsidRPr="002E724E" w:rsidRDefault="00AC6EC2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26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C202" w14:textId="77777777" w:rsidR="00AC6EC2" w:rsidRPr="00422E1F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</w:rPr>
              <w:t>Assizes: Western Circuit: Criminal Depositions and Case Papers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59DDF" w14:textId="77777777" w:rsidR="00AC6EC2" w:rsidRPr="002E724E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4DB8AE9C" w14:textId="77777777" w:rsidTr="006C6119">
        <w:trPr>
          <w:trHeight w:val="41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2C7A9" w14:textId="77777777" w:rsidR="00AC6EC2" w:rsidRPr="002E724E" w:rsidRDefault="00AC6EC2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36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5F23" w14:textId="77777777" w:rsidR="00AC6EC2" w:rsidRPr="00422E1F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Assizes: Home, Norfolk and South-Eastern Circuit: Deposition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872CC" w14:textId="77777777" w:rsidR="00AC6EC2" w:rsidRPr="002E724E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932D45" w14:paraId="5A56125C" w14:textId="77777777" w:rsidTr="006C6119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80D8" w14:textId="77777777" w:rsidR="00AC6EC2" w:rsidRPr="00932D45" w:rsidRDefault="00AC6EC2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45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C712" w14:textId="77777777" w:rsidR="00AC6EC2" w:rsidRPr="00422E1F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Assizes: Midland Circuit: Criminal Depositions and Case Papers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7C6E5" w14:textId="77777777" w:rsidR="00AC6EC2" w:rsidRPr="00932D45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AC6EC2" w:rsidRPr="00932D45" w14:paraId="1BC61664" w14:textId="77777777" w:rsidTr="006C6119">
        <w:trPr>
          <w:trHeight w:val="55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4517" w14:textId="77777777" w:rsidR="00AC6EC2" w:rsidRPr="00932D45" w:rsidRDefault="00225493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52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4BE3" w14:textId="77777777" w:rsidR="00AC6EC2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Assizes: Northern Circuit: Criminal Depositions and Case Papers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A16B6" w14:textId="77777777" w:rsidR="00AC6EC2" w:rsidRPr="00932D45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932D45" w14:paraId="16CB5E74" w14:textId="77777777" w:rsidTr="006C6119">
        <w:trPr>
          <w:trHeight w:val="42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BEBE" w14:textId="77777777" w:rsidR="00AC6EC2" w:rsidRDefault="00AC6EC2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CRIM 1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2C49" w14:textId="77777777" w:rsidR="00AC6EC2" w:rsidRPr="00422E1F" w:rsidRDefault="00AC6EC2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</w:rPr>
              <w:t>Central Criminal Court: Depositions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694E9" w14:textId="77777777" w:rsidR="00AC6EC2" w:rsidRPr="00932D45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AC6EC2" w:rsidRPr="00932D45" w14:paraId="0770A9EE" w14:textId="77777777" w:rsidTr="006C6119">
        <w:trPr>
          <w:trHeight w:val="41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3746" w14:textId="77777777" w:rsidR="00AC6EC2" w:rsidRDefault="00AC6EC2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DPP 2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3593" w14:textId="77777777" w:rsidR="00AC6EC2" w:rsidRPr="00422E1F" w:rsidRDefault="00AC6EC2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Director of Public Prosecutions: Case Papers, New Series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00445" w14:textId="77777777" w:rsidR="00AC6EC2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C6EC2" w:rsidRPr="00932D45" w14:paraId="12BCA5D4" w14:textId="77777777" w:rsidTr="006C6119">
        <w:trPr>
          <w:trHeight w:val="41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C14B" w14:textId="77777777" w:rsidR="00AC6EC2" w:rsidRDefault="00225493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186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B05B4" w14:textId="77777777" w:rsidR="00AC6EC2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Supreme Court of Judicature: The Crown Court at Oxford: Case Files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6B1B8" w14:textId="77777777" w:rsidR="00AC6EC2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932D45" w14:paraId="73FE5EC8" w14:textId="77777777" w:rsidTr="006C6119">
        <w:trPr>
          <w:trHeight w:val="698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8284" w14:textId="77777777" w:rsidR="00AC6EC2" w:rsidRDefault="00225493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242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5ED40" w14:textId="77777777" w:rsidR="00AC6EC2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Supreme Court of Judicature: The Crown Court at Cambridge: Case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B8E48" w14:textId="77777777" w:rsidR="00AC6EC2" w:rsidRPr="00932D45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932D45" w14:paraId="6EF368D1" w14:textId="77777777" w:rsidTr="006C6119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1DF7" w14:textId="77777777" w:rsidR="00AC6EC2" w:rsidRDefault="00AC6EC2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267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3138" w14:textId="77777777" w:rsidR="00AC6EC2" w:rsidRPr="00422E1F" w:rsidRDefault="00AC6EC2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Supreme Court of Judicature: Central Criminal Court Case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E1CCB" w14:textId="77777777" w:rsidR="00AC6EC2" w:rsidRPr="00932D45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C6EC2" w:rsidRPr="00932D45" w14:paraId="1C4B5FE1" w14:textId="77777777" w:rsidTr="006C6119">
        <w:trPr>
          <w:trHeight w:val="688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084C" w14:textId="77777777" w:rsidR="00AC6EC2" w:rsidRDefault="00225493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309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01483" w14:textId="77777777" w:rsidR="00AC6EC2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Supreme Court of Judicature: The Crown Court at Bristol: Case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DBAD" w14:textId="77777777" w:rsidR="00AC6EC2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932D45" w14:paraId="1CC17D92" w14:textId="77777777" w:rsidTr="006C6119">
        <w:trPr>
          <w:trHeight w:val="68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0106" w14:textId="77777777" w:rsidR="00AC6EC2" w:rsidRDefault="00AC6EC2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311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0532" w14:textId="77777777" w:rsidR="00AC6EC2" w:rsidRPr="00422E1F" w:rsidRDefault="00AC6EC2" w:rsidP="00B260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</w:rPr>
              <w:t>Supreme Court of Judicature: The Crown Court at Exeter: Case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039D" w14:textId="77777777" w:rsidR="00AC6EC2" w:rsidRDefault="0093190C" w:rsidP="00B2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932D45" w14:paraId="55423C9E" w14:textId="77777777" w:rsidTr="006C6119">
        <w:trPr>
          <w:trHeight w:val="69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1438" w14:textId="77777777" w:rsidR="00AC6EC2" w:rsidRDefault="00AC6EC2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82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7B70" w14:textId="77777777" w:rsidR="00AC6EC2" w:rsidRPr="00422E1F" w:rsidRDefault="00AC6EC2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Court of Criminal Appeal and Supreme Court of Judicature, Court of Appeal, Criminal Division: Case Papers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36262" w14:textId="77777777" w:rsidR="00AC6EC2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C6EC2" w:rsidRPr="00932D45" w14:paraId="495060EF" w14:textId="77777777" w:rsidTr="009A706A">
        <w:trPr>
          <w:trHeight w:val="42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4C44" w14:textId="77777777" w:rsidR="00AC6EC2" w:rsidRDefault="00225493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 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6C8DB" w14:textId="77777777" w:rsidR="00AC6EC2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 Security Service: Personal (PF Series)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478F1" w14:textId="77777777" w:rsidR="00AC6EC2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932D45" w14:paraId="1431FEFF" w14:textId="77777777" w:rsidTr="009A706A">
        <w:trPr>
          <w:trHeight w:val="417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9130" w14:textId="77777777" w:rsidR="00AC6EC2" w:rsidRDefault="00AC6EC2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MEPO 26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5992F" w14:textId="77777777" w:rsidR="00AC6EC2" w:rsidRPr="00422E1F" w:rsidRDefault="00AC6EC2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Metropolitan Police: Registered Files, Crime (CR Series)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26323" w14:textId="77777777" w:rsidR="00AC6EC2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932D45" w14:paraId="115B3715" w14:textId="77777777" w:rsidTr="006C6119">
        <w:trPr>
          <w:trHeight w:val="706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8D6" w14:textId="77777777" w:rsidR="00AC6EC2" w:rsidRDefault="00AC6EC2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PCOM 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72F87" w14:textId="77777777" w:rsidR="00AC6EC2" w:rsidRPr="00422E1F" w:rsidRDefault="00AC6EC2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Prison Commission and Home Office, Prison Department: Registered Papers: Series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3C8F" w14:textId="77777777" w:rsidR="00AC6EC2" w:rsidRPr="00932D45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C6EC2" w:rsidRPr="002E724E" w14:paraId="77705B8D" w14:textId="77777777" w:rsidTr="00D84364">
        <w:trPr>
          <w:trHeight w:val="49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E14A" w14:textId="77777777" w:rsidR="00AC6EC2" w:rsidRPr="002E724E" w:rsidRDefault="00AC6EC2" w:rsidP="00D84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CAB8" w14:textId="77777777" w:rsidR="00AC6EC2" w:rsidRPr="002E724E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CD1FC" w14:textId="77777777" w:rsidR="00AC6EC2" w:rsidRDefault="0093190C" w:rsidP="00650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</w:tr>
    </w:tbl>
    <w:p w14:paraId="2C753A78" w14:textId="77777777" w:rsidR="00AC6EC2" w:rsidRDefault="00AC6EC2" w:rsidP="00AC6E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50C604" w14:textId="77777777" w:rsidR="00AC6EC2" w:rsidRPr="002E724E" w:rsidRDefault="00AC6EC2" w:rsidP="00AC6E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24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nnex</w:t>
      </w:r>
      <w:r w:rsidRPr="002E724E">
        <w:rPr>
          <w:rFonts w:ascii="Arial" w:hAnsi="Arial" w:cs="Arial"/>
          <w:b/>
          <w:sz w:val="24"/>
          <w:szCs w:val="24"/>
        </w:rPr>
        <w:t xml:space="preserve"> B - part </w:t>
      </w:r>
      <w:r>
        <w:rPr>
          <w:rFonts w:ascii="Arial" w:hAnsi="Arial" w:cs="Arial"/>
          <w:b/>
          <w:sz w:val="24"/>
          <w:szCs w:val="24"/>
        </w:rPr>
        <w:t>r</w:t>
      </w:r>
      <w:r w:rsidRPr="002E724E">
        <w:rPr>
          <w:rFonts w:ascii="Arial" w:hAnsi="Arial" w:cs="Arial"/>
          <w:b/>
          <w:sz w:val="24"/>
          <w:szCs w:val="24"/>
        </w:rPr>
        <w:t xml:space="preserve">eclosure </w:t>
      </w:r>
      <w:r>
        <w:rPr>
          <w:rFonts w:ascii="Arial" w:hAnsi="Arial" w:cs="Arial"/>
          <w:b/>
          <w:sz w:val="24"/>
          <w:szCs w:val="24"/>
        </w:rPr>
        <w:t>(redaction) by S</w:t>
      </w:r>
      <w:r w:rsidRPr="002E724E">
        <w:rPr>
          <w:rFonts w:ascii="Arial" w:hAnsi="Arial" w:cs="Arial"/>
          <w:b/>
          <w:sz w:val="24"/>
          <w:szCs w:val="24"/>
        </w:rPr>
        <w:t xml:space="preserve">eries </w:t>
      </w:r>
    </w:p>
    <w:p w14:paraId="3DC958AD" w14:textId="77777777" w:rsidR="00AC6EC2" w:rsidRDefault="00AC6EC2" w:rsidP="00AC6E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1324"/>
        <w:gridCol w:w="7083"/>
        <w:gridCol w:w="1417"/>
      </w:tblGrid>
      <w:tr w:rsidR="00AC6EC2" w:rsidRPr="002E724E" w14:paraId="7486EA3B" w14:textId="77777777" w:rsidTr="00650B22">
        <w:trPr>
          <w:trHeight w:val="69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BACA" w14:textId="77777777" w:rsidR="00AC6EC2" w:rsidRPr="002E724E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Reference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9BE57" w14:textId="77777777" w:rsidR="00AC6EC2" w:rsidRPr="002E724E" w:rsidRDefault="00AC6EC2" w:rsidP="0065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A7B2E6" w14:textId="77777777" w:rsidR="00AC6EC2" w:rsidRPr="002E724E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Reclosures</w:t>
            </w:r>
          </w:p>
        </w:tc>
      </w:tr>
      <w:tr w:rsidR="00225493" w:rsidRPr="002E724E" w14:paraId="2935D16B" w14:textId="77777777" w:rsidTr="006C6119">
        <w:trPr>
          <w:trHeight w:val="656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E0FA" w14:textId="77777777" w:rsidR="00225493" w:rsidRDefault="004629AB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84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C749" w14:textId="77777777" w:rsidR="00225493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Assizes: Wales and Chester Circuit: Criminal Depositions and Case Papers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52E17" w14:textId="77777777" w:rsidR="00225493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629AB" w:rsidRPr="002E724E" w14:paraId="348A8A4E" w14:textId="77777777" w:rsidTr="006C6119">
        <w:trPr>
          <w:trHeight w:val="698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BE08" w14:textId="77777777" w:rsidR="004629AB" w:rsidRDefault="004629AB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BN 29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E94F" w14:textId="77777777" w:rsidR="004629AB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Home Office and Department of Health and Social Security: Children (CHN Symbol Series)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86294" w14:textId="77777777" w:rsidR="004629AB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4801F77C" w14:textId="77777777" w:rsidTr="006C6119">
        <w:trPr>
          <w:trHeight w:val="10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9133" w14:textId="77777777" w:rsidR="00AC6EC2" w:rsidRPr="00A62031" w:rsidRDefault="00AC6EC2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BN 62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73A94" w14:textId="77777777" w:rsidR="00AC6EC2" w:rsidRPr="00422E1F" w:rsidRDefault="00AC6EC2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Home Office and Department of Health and Social Security: Approved Schools and Remand and Voluntary Homes: Files (CHR Symbol Series)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0C92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44A80" w:rsidRPr="002E724E" w14:paraId="4C9D03C8" w14:textId="77777777" w:rsidTr="006C6119">
        <w:trPr>
          <w:trHeight w:val="5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1D9A" w14:textId="77777777" w:rsidR="00E44A80" w:rsidRDefault="00E44A80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CHAR 11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5058" w14:textId="77777777" w:rsidR="00E44A80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Charity Commission: General Division: Registered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3109" w14:textId="77777777" w:rsidR="00E44A80" w:rsidRDefault="00E44A80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44A80" w:rsidRPr="002E724E" w14:paraId="4DD5E2A3" w14:textId="77777777" w:rsidTr="006C6119">
        <w:trPr>
          <w:trHeight w:val="416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DD82" w14:textId="77777777" w:rsidR="00E44A80" w:rsidRDefault="00E44A80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CHAR 19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C9381" w14:textId="77777777" w:rsidR="00E44A80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Charity Commission: Registered Charity Case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37616" w14:textId="77777777" w:rsidR="00E44A80" w:rsidRDefault="00E44A80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25493" w:rsidRPr="002E724E" w14:paraId="2C637221" w14:textId="77777777" w:rsidTr="006C6119">
        <w:trPr>
          <w:trHeight w:val="556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6D58" w14:textId="77777777" w:rsidR="00225493" w:rsidRDefault="004629AB" w:rsidP="006C61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COAL 77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3928D" w14:textId="77777777" w:rsidR="00225493" w:rsidRPr="00422E1F" w:rsidRDefault="00422E1F" w:rsidP="006C611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National Coal Board: Minute Series, Collieries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9ECEE" w14:textId="77777777" w:rsidR="00225493" w:rsidRDefault="00A722D8" w:rsidP="006C61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C6EC2" w:rsidRPr="002E724E" w14:paraId="6C2FFCAF" w14:textId="77777777" w:rsidTr="006C6119">
        <w:trPr>
          <w:trHeight w:val="557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25A4" w14:textId="77777777" w:rsidR="00AC6EC2" w:rsidRDefault="00225493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DEFE 71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6F39F" w14:textId="77777777" w:rsidR="00AC6EC2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Ministry of Defence (Air): Registered Files and Branch Folders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FC17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1378AC85" w14:textId="77777777" w:rsidTr="006C6119">
        <w:trPr>
          <w:trHeight w:val="40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A902" w14:textId="77777777" w:rsidR="00AC6EC2" w:rsidRDefault="00AC6EC2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DPP 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966B4" w14:textId="77777777" w:rsidR="00AC6EC2" w:rsidRPr="00422E1F" w:rsidRDefault="00AC6EC2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Director of Public Prosecutions: Case Papers, New Series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5CAF9" w14:textId="77777777" w:rsidR="00AC6EC2" w:rsidRDefault="00A722D8" w:rsidP="0046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AC6EC2" w:rsidRPr="00932D45" w14:paraId="7B277D9D" w14:textId="77777777" w:rsidTr="006C6119">
        <w:trPr>
          <w:trHeight w:val="69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19C0" w14:textId="77777777" w:rsidR="00AC6EC2" w:rsidRDefault="00AC6EC2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FCO 141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B8D68" w14:textId="77777777" w:rsidR="00AC6EC2" w:rsidRPr="00422E1F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Foreign and Commonwealth Office and predecessors: Records of Former Colonial Administrations: Migrated Archives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C7A2B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629AB" w:rsidRPr="002E724E" w14:paraId="0944F877" w14:textId="77777777" w:rsidTr="009A706A">
        <w:trPr>
          <w:trHeight w:val="41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F782" w14:textId="77777777" w:rsidR="004629AB" w:rsidRDefault="004629AB" w:rsidP="009A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 287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5F94B" w14:textId="77777777" w:rsidR="004629AB" w:rsidRPr="00422E1F" w:rsidRDefault="00422E1F" w:rsidP="009A70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</w:rPr>
              <w:t>Home Office: Police (POL Symbol Series) Files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9552A" w14:textId="77777777" w:rsidR="004629AB" w:rsidRDefault="00A722D8" w:rsidP="009A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610529F9" w14:textId="77777777" w:rsidTr="006C6119">
        <w:trPr>
          <w:trHeight w:val="37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A1C2" w14:textId="77777777" w:rsidR="00AC6EC2" w:rsidRPr="00A62031" w:rsidRDefault="004629AB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 291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64F9E" w14:textId="77777777" w:rsidR="00AC6EC2" w:rsidRPr="00422E1F" w:rsidRDefault="00422E1F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Home Office: Criminal (CRI and CCS Symbol Series) Files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92675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2F9CAC2E" w14:textId="77777777" w:rsidTr="006C6119">
        <w:trPr>
          <w:trHeight w:val="9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1CA3" w14:textId="77777777" w:rsidR="00AC6EC2" w:rsidRDefault="00225493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 334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F5144" w14:textId="77777777" w:rsidR="00AC6EC2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Home Office: Immigration and Nationality Department: Duplicate Certificates of Naturalisation, Declarations of British Nationality, and Declarations of Alienage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D4C16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629AB" w:rsidRPr="002E724E" w14:paraId="32D81EF4" w14:textId="77777777" w:rsidTr="006C6119">
        <w:trPr>
          <w:trHeight w:val="96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1F6D" w14:textId="77777777" w:rsidR="004629AB" w:rsidRDefault="004629AB" w:rsidP="009A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 405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73B6" w14:textId="77777777" w:rsidR="004629AB" w:rsidRPr="00422E1F" w:rsidRDefault="00422E1F" w:rsidP="009A70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</w:rPr>
              <w:t>Home Office: Aliens Department and successors: Aliens Personal Files, Applications for Naturalisation (ALP and IMP file series)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3E229" w14:textId="77777777" w:rsidR="004629AB" w:rsidRDefault="00A722D8" w:rsidP="009A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5059F7CF" w14:textId="77777777" w:rsidTr="006C6119">
        <w:trPr>
          <w:trHeight w:val="70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4B3D" w14:textId="77777777" w:rsidR="00AC6EC2" w:rsidRDefault="00225493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IR 40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1969" w14:textId="77777777" w:rsidR="00AC6EC2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Board of Inland Revenue: Stamps and Taxes Division: Registered Files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A9819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06E4144A" w14:textId="77777777" w:rsidTr="009A706A">
        <w:trPr>
          <w:trHeight w:val="62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9C70" w14:textId="77777777" w:rsidR="00AC6EC2" w:rsidRDefault="004629AB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243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23F2B" w14:textId="77777777" w:rsidR="00AC6EC2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Supreme Court of Judicature: The Crown Court at Cambridge: Indictments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E1D3A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6F554381" w14:textId="77777777" w:rsidTr="006C6119">
        <w:trPr>
          <w:trHeight w:val="70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02AB" w14:textId="77777777" w:rsidR="00AC6EC2" w:rsidRDefault="004629AB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248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24545" w14:textId="77777777" w:rsidR="00AC6EC2" w:rsidRPr="00422E1F" w:rsidRDefault="00422E1F" w:rsidP="00650B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Supreme Court of Judicature: The Crown Court at Croydon: Case Files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83851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502C4EA7" w14:textId="77777777" w:rsidTr="006C6119">
        <w:trPr>
          <w:trHeight w:val="69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A207" w14:textId="77777777" w:rsidR="00AC6EC2" w:rsidRPr="00A62031" w:rsidRDefault="00AC6EC2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MEPO 2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AB41" w14:textId="77777777" w:rsidR="00AC6EC2" w:rsidRPr="00422E1F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</w:rPr>
              <w:t>Metropolitan Police: Office of the Commissioner: Correspondence and Papers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DA5BF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629AB" w:rsidRPr="002E724E" w14:paraId="405EC642" w14:textId="77777777" w:rsidTr="006C6119">
        <w:trPr>
          <w:trHeight w:val="69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455" w14:textId="77777777" w:rsidR="004629AB" w:rsidRDefault="004629AB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MEPO 3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E8EA5" w14:textId="77777777" w:rsidR="004629AB" w:rsidRPr="00422E1F" w:rsidRDefault="00422E1F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Metropolitan Police: Office of the Commissioner: Correspondence and Papers, Special Series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3541E" w14:textId="77777777" w:rsidR="004629AB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423A2D4D" w14:textId="77777777" w:rsidTr="006C6119">
        <w:trPr>
          <w:trHeight w:val="9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B722" w14:textId="77777777" w:rsidR="00AC6EC2" w:rsidRDefault="004629AB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 135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64F13" w14:textId="77777777" w:rsidR="00AC6EC2" w:rsidRPr="00422E1F" w:rsidRDefault="00422E1F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Ministry of Health: General Medical, Dental, Pharmaceutical and Supplementary Ophthalmic Services, Registered Files (94,000 Series)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43677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07CAC3F1" w14:textId="77777777" w:rsidTr="006C6119">
        <w:trPr>
          <w:trHeight w:val="99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B40B" w14:textId="77777777" w:rsidR="00AC6EC2" w:rsidRDefault="00AC6EC2" w:rsidP="006C6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="00225493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F85E" w14:textId="77777777" w:rsidR="00AC6EC2" w:rsidRPr="00422E1F" w:rsidRDefault="00422E1F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HM Treasury: Superannuation Division: Registered Files PSPP prefix (Public Service Pension Policy) and CSP prefix (Civil Service Pensions)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7F6FB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C6EC2" w:rsidRPr="002E724E" w14:paraId="6521D277" w14:textId="77777777" w:rsidTr="006C6119">
        <w:trPr>
          <w:trHeight w:val="65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B657" w14:textId="77777777" w:rsidR="00AC6EC2" w:rsidRDefault="00AC6EC2" w:rsidP="006C6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 35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EED84" w14:textId="77777777" w:rsidR="00AC6EC2" w:rsidRPr="00422E1F" w:rsidRDefault="00422E1F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2E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War Office: Army of Ireland: Administrative and Easter Rising Records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AA67C" w14:textId="77777777" w:rsidR="00AC6EC2" w:rsidRDefault="00A722D8" w:rsidP="0065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6EC2" w:rsidRPr="002E724E" w14:paraId="0EB1234C" w14:textId="77777777" w:rsidTr="00650B22">
        <w:trPr>
          <w:trHeight w:val="46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3FCE4" w14:textId="77777777" w:rsidR="00AC6EC2" w:rsidRPr="002E724E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9929E" w14:textId="77777777" w:rsidR="00AC6EC2" w:rsidRPr="002E724E" w:rsidRDefault="00AC6EC2" w:rsidP="00650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5A7E6E" w14:textId="77777777" w:rsidR="00AC6EC2" w:rsidRDefault="004629AB" w:rsidP="00650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</w:tbl>
    <w:p w14:paraId="3CA3CC36" w14:textId="77777777" w:rsidR="00205C65" w:rsidRPr="00205C65" w:rsidRDefault="00205C65" w:rsidP="00205C65"/>
    <w:sectPr w:rsidR="00205C65" w:rsidRPr="0020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F9CF7" w14:textId="77777777" w:rsidR="00A722D8" w:rsidRDefault="00A722D8" w:rsidP="00A722D8">
      <w:pPr>
        <w:spacing w:after="0" w:line="240" w:lineRule="auto"/>
      </w:pPr>
      <w:r>
        <w:separator/>
      </w:r>
    </w:p>
  </w:endnote>
  <w:endnote w:type="continuationSeparator" w:id="0">
    <w:p w14:paraId="4205606F" w14:textId="77777777" w:rsidR="00A722D8" w:rsidRDefault="00A722D8" w:rsidP="00A7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E16E5" w14:textId="77777777" w:rsidR="00A722D8" w:rsidRDefault="00A722D8" w:rsidP="00A722D8">
      <w:pPr>
        <w:spacing w:after="0" w:line="240" w:lineRule="auto"/>
      </w:pPr>
      <w:r>
        <w:separator/>
      </w:r>
    </w:p>
  </w:footnote>
  <w:footnote w:type="continuationSeparator" w:id="0">
    <w:p w14:paraId="4D2142E1" w14:textId="77777777" w:rsidR="00A722D8" w:rsidRDefault="00A722D8" w:rsidP="00A7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9B8"/>
    <w:multiLevelType w:val="hybridMultilevel"/>
    <w:tmpl w:val="DED6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229EE"/>
    <w:multiLevelType w:val="hybridMultilevel"/>
    <w:tmpl w:val="9E3C0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C2"/>
    <w:rsid w:val="00165160"/>
    <w:rsid w:val="0020454B"/>
    <w:rsid w:val="00205C65"/>
    <w:rsid w:val="00225493"/>
    <w:rsid w:val="003F3BFE"/>
    <w:rsid w:val="00422E1F"/>
    <w:rsid w:val="00427B50"/>
    <w:rsid w:val="004629AB"/>
    <w:rsid w:val="004A1BA3"/>
    <w:rsid w:val="005043AA"/>
    <w:rsid w:val="00682117"/>
    <w:rsid w:val="006C6119"/>
    <w:rsid w:val="0093190C"/>
    <w:rsid w:val="009A706A"/>
    <w:rsid w:val="00A722D8"/>
    <w:rsid w:val="00AA2658"/>
    <w:rsid w:val="00AC6EC2"/>
    <w:rsid w:val="00AE67D4"/>
    <w:rsid w:val="00B26025"/>
    <w:rsid w:val="00C950B0"/>
    <w:rsid w:val="00D84364"/>
    <w:rsid w:val="00E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17DC54"/>
  <w15:chartTrackingRefBased/>
  <w15:docId w15:val="{F27BABAA-9281-4460-9E91-C6E7BF36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19"/>
  </w:style>
  <w:style w:type="paragraph" w:styleId="Heading1">
    <w:name w:val="heading 1"/>
    <w:basedOn w:val="Normal"/>
    <w:next w:val="Normal"/>
    <w:link w:val="Heading1Char"/>
    <w:uiPriority w:val="9"/>
    <w:qFormat/>
    <w:rsid w:val="006C61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11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1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1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61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61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61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61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61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1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611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C611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611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611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6C611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C611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6C611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6C611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C611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6C61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11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1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6119"/>
    <w:rPr>
      <w:rFonts w:asciiTheme="majorHAnsi" w:eastAsiaTheme="majorEastAsia" w:hAnsiTheme="majorHAnsi" w:cstheme="majorBidi"/>
    </w:rPr>
  </w:style>
  <w:style w:type="character" w:styleId="SubtleEmphasis">
    <w:name w:val="Subtle Emphasis"/>
    <w:basedOn w:val="DefaultParagraphFont"/>
    <w:uiPriority w:val="19"/>
    <w:qFormat/>
    <w:rsid w:val="006C61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C611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C6119"/>
    <w:rPr>
      <w:b w:val="0"/>
      <w:bCs w:val="0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C611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C611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61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11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11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6C61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6119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6119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character" w:customStyle="1" w:styleId="legds2">
    <w:name w:val="legds2"/>
    <w:basedOn w:val="DefaultParagraphFont"/>
    <w:rsid w:val="00AC6EC2"/>
    <w:rPr>
      <w:vanish w:val="0"/>
      <w:webHidden w:val="0"/>
      <w:specVanish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611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2204C6E8CD747AE4CED5549C70A62" ma:contentTypeVersion="58" ma:contentTypeDescription="Create a new document." ma:contentTypeScope="" ma:versionID="326fa01ac0de8e8b040aee3057eb17ad">
  <xsd:schema xmlns:xsd="http://www.w3.org/2001/XMLSchema" xmlns:xs="http://www.w3.org/2001/XMLSchema" xmlns:p="http://schemas.microsoft.com/office/2006/metadata/properties" xmlns:ns1="http://schemas.microsoft.com/sharepoint/v3" xmlns:ns2="a67c0736-5c7f-4174-8dcd-78baf74714be" xmlns:ns3="20068350-b3b9-4cf4-9a4f-936a94cf848d" targetNamespace="http://schemas.microsoft.com/office/2006/metadata/properties" ma:root="true" ma:fieldsID="a97a9b7d09149effedd3bde9545ed0bf" ns1:_="" ns2:_="" ns3:_="">
    <xsd:import namespace="http://schemas.microsoft.com/sharepoint/v3"/>
    <xsd:import namespace="a67c0736-5c7f-4174-8dcd-78baf74714be"/>
    <xsd:import namespace="20068350-b3b9-4cf4-9a4f-936a94cf8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1:TagEven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19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0736-5c7f-4174-8dcd-78baf74714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68350-b3b9-4cf4-9a4f-936a94cf8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5C19-82B9-405A-8B8E-7254081D4AC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20068350-b3b9-4cf4-9a4f-936a94cf848d"/>
    <ds:schemaRef ds:uri="a67c0736-5c7f-4174-8dcd-78baf74714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A9BCDE-C873-4643-B850-3AE47FE7D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DADDE-2B27-43B4-8FD5-F0FBC7B3AE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50C247-196F-42D2-9967-9AF422ADF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7c0736-5c7f-4174-8dcd-78baf74714be"/>
    <ds:schemaRef ds:uri="20068350-b3b9-4cf4-9a4f-936a94cf8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8C28D9-0CD3-4868-B756-3AE194C3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Nick</dc:creator>
  <cp:keywords/>
  <dc:description/>
  <cp:lastModifiedBy>Darby, Nathan</cp:lastModifiedBy>
  <cp:revision>2</cp:revision>
  <cp:lastPrinted>2022-10-06T11:09:00Z</cp:lastPrinted>
  <dcterms:created xsi:type="dcterms:W3CDTF">2022-11-24T15:52:00Z</dcterms:created>
  <dcterms:modified xsi:type="dcterms:W3CDTF">2022-11-24T15:52:00Z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c22e59-6e76-40e7-9277-37c464fc6354_Enabled">
    <vt:lpwstr>true</vt:lpwstr>
  </property>
  <property fmtid="{D5CDD505-2E9C-101B-9397-08002B2CF9AE}" pid="3" name="MSIP_Label_61c22e59-6e76-40e7-9277-37c464fc6354_SetDate">
    <vt:lpwstr>2022-10-05T16:30:57Z</vt:lpwstr>
  </property>
  <property fmtid="{D5CDD505-2E9C-101B-9397-08002B2CF9AE}" pid="4" name="MSIP_Label_61c22e59-6e76-40e7-9277-37c464fc6354_Method">
    <vt:lpwstr>Privileged</vt:lpwstr>
  </property>
  <property fmtid="{D5CDD505-2E9C-101B-9397-08002B2CF9AE}" pid="5" name="MSIP_Label_61c22e59-6e76-40e7-9277-37c464fc6354_Name">
    <vt:lpwstr>OFFICIAL</vt:lpwstr>
  </property>
  <property fmtid="{D5CDD505-2E9C-101B-9397-08002B2CF9AE}" pid="6" name="MSIP_Label_61c22e59-6e76-40e7-9277-37c464fc6354_SiteId">
    <vt:lpwstr>f99512c1-fd9f-4475-9896-9a0b3cdc50ec</vt:lpwstr>
  </property>
  <property fmtid="{D5CDD505-2E9C-101B-9397-08002B2CF9AE}" pid="7" name="MSIP_Label_61c22e59-6e76-40e7-9277-37c464fc6354_ActionId">
    <vt:lpwstr>0a7d553e-2ba0-4ff4-bc62-40ee9421ab24</vt:lpwstr>
  </property>
  <property fmtid="{D5CDD505-2E9C-101B-9397-08002B2CF9AE}" pid="8" name="MSIP_Label_61c22e59-6e76-40e7-9277-37c464fc6354_ContentBits">
    <vt:lpwstr>0</vt:lpwstr>
  </property>
  <property fmtid="{D5CDD505-2E9C-101B-9397-08002B2CF9AE}" pid="9" name="ContentTypeId">
    <vt:lpwstr>0x010100FFA2204C6E8CD747AE4CED5549C70A62</vt:lpwstr>
  </property>
</Properties>
</file>